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06" w:rsidRPr="00FF1145" w:rsidRDefault="00884206" w:rsidP="00884206">
      <w:pPr>
        <w:spacing w:after="0" w:line="360" w:lineRule="auto"/>
        <w:jc w:val="center"/>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ВАЖ</w:t>
      </w:r>
      <w:r w:rsidR="00F46A90" w:rsidRPr="00FF1145">
        <w:rPr>
          <w:rFonts w:ascii="Arial" w:eastAsia="Times New Roman" w:hAnsi="Arial" w:cs="Arial"/>
          <w:b/>
          <w:bCs/>
          <w:sz w:val="20"/>
          <w:szCs w:val="20"/>
          <w:lang w:eastAsia="ru-RU"/>
        </w:rPr>
        <w:t>НЫЕ ИЗМЕНЕНИЯ ЗАКОНОДАТЕЛЬСТВА по состоянию</w:t>
      </w:r>
      <w:r w:rsidRPr="00FF1145">
        <w:rPr>
          <w:rFonts w:ascii="Arial" w:eastAsia="Times New Roman" w:hAnsi="Arial" w:cs="Arial"/>
          <w:b/>
          <w:bCs/>
          <w:sz w:val="20"/>
          <w:szCs w:val="20"/>
          <w:lang w:eastAsia="ru-RU"/>
        </w:rPr>
        <w:t xml:space="preserve"> </w:t>
      </w:r>
      <w:r w:rsidR="00432735" w:rsidRPr="00FF1145">
        <w:rPr>
          <w:rFonts w:ascii="Arial" w:eastAsia="Times New Roman" w:hAnsi="Arial" w:cs="Arial"/>
          <w:b/>
          <w:bCs/>
          <w:sz w:val="20"/>
          <w:szCs w:val="20"/>
          <w:lang w:eastAsia="ru-RU"/>
        </w:rPr>
        <w:t xml:space="preserve">на </w:t>
      </w:r>
      <w:r w:rsidR="00D81820" w:rsidRPr="00FF1145">
        <w:rPr>
          <w:rFonts w:ascii="Arial" w:eastAsia="Times New Roman" w:hAnsi="Arial" w:cs="Arial"/>
          <w:b/>
          <w:bCs/>
          <w:sz w:val="20"/>
          <w:szCs w:val="20"/>
          <w:lang w:eastAsia="ru-RU"/>
        </w:rPr>
        <w:t>1</w:t>
      </w:r>
      <w:r w:rsidRPr="00FF1145">
        <w:rPr>
          <w:rFonts w:ascii="Arial" w:eastAsia="Times New Roman" w:hAnsi="Arial" w:cs="Arial"/>
          <w:b/>
          <w:bCs/>
          <w:sz w:val="20"/>
          <w:szCs w:val="20"/>
          <w:lang w:eastAsia="ru-RU"/>
        </w:rPr>
        <w:t xml:space="preserve"> </w:t>
      </w:r>
      <w:r w:rsidR="006F52FF">
        <w:rPr>
          <w:rFonts w:ascii="Arial" w:eastAsia="Times New Roman" w:hAnsi="Arial" w:cs="Arial"/>
          <w:b/>
          <w:bCs/>
          <w:sz w:val="20"/>
          <w:szCs w:val="20"/>
          <w:lang w:eastAsia="ru-RU"/>
        </w:rPr>
        <w:t>июл</w:t>
      </w:r>
      <w:r w:rsidR="00AC1B6A">
        <w:rPr>
          <w:rFonts w:ascii="Arial" w:eastAsia="Times New Roman" w:hAnsi="Arial" w:cs="Arial"/>
          <w:b/>
          <w:bCs/>
          <w:sz w:val="20"/>
          <w:szCs w:val="20"/>
          <w:lang w:eastAsia="ru-RU"/>
        </w:rPr>
        <w:t xml:space="preserve">я </w:t>
      </w:r>
      <w:r w:rsidRPr="00FF1145">
        <w:rPr>
          <w:rFonts w:ascii="Arial" w:eastAsia="Times New Roman" w:hAnsi="Arial" w:cs="Arial"/>
          <w:b/>
          <w:bCs/>
          <w:sz w:val="20"/>
          <w:szCs w:val="20"/>
          <w:lang w:eastAsia="ru-RU"/>
        </w:rPr>
        <w:t>2017 ГОДА</w:t>
      </w:r>
    </w:p>
    <w:p w:rsidR="00884206" w:rsidRPr="00FF1145" w:rsidRDefault="00884206" w:rsidP="00884206">
      <w:pPr>
        <w:spacing w:after="0" w:line="312" w:lineRule="auto"/>
        <w:ind w:firstLine="547"/>
        <w:jc w:val="both"/>
        <w:rPr>
          <w:rFonts w:ascii="Arial" w:eastAsia="Times New Roman" w:hAnsi="Arial" w:cs="Arial"/>
          <w:sz w:val="20"/>
          <w:szCs w:val="20"/>
          <w:lang w:eastAsia="ru-RU"/>
        </w:rPr>
      </w:pPr>
      <w:r w:rsidRPr="00FF1145">
        <w:rPr>
          <w:rFonts w:ascii="Arial" w:eastAsia="Times New Roman" w:hAnsi="Arial" w:cs="Arial"/>
          <w:sz w:val="20"/>
          <w:szCs w:val="20"/>
          <w:lang w:eastAsia="ru-RU"/>
        </w:rPr>
        <w:t> </w:t>
      </w:r>
    </w:p>
    <w:p w:rsidR="00884206" w:rsidRPr="00FF1145" w:rsidRDefault="00884206" w:rsidP="00884206">
      <w:pPr>
        <w:spacing w:after="0" w:line="312" w:lineRule="auto"/>
        <w:ind w:firstLine="547"/>
        <w:jc w:val="both"/>
        <w:rPr>
          <w:rFonts w:ascii="Arial" w:eastAsia="Times New Roman" w:hAnsi="Arial" w:cs="Arial"/>
          <w:b/>
          <w:sz w:val="20"/>
          <w:szCs w:val="20"/>
          <w:lang w:eastAsia="ru-RU"/>
        </w:rPr>
      </w:pPr>
      <w:r w:rsidRPr="00FF1145">
        <w:rPr>
          <w:rFonts w:ascii="Arial" w:eastAsia="Times New Roman" w:hAnsi="Arial" w:cs="Arial"/>
          <w:b/>
          <w:sz w:val="20"/>
          <w:szCs w:val="20"/>
          <w:lang w:eastAsia="ru-RU"/>
        </w:rPr>
        <w:t xml:space="preserve">В обзоре собраны </w:t>
      </w:r>
      <w:r w:rsidR="00432735" w:rsidRPr="00FF1145">
        <w:rPr>
          <w:rFonts w:ascii="Arial" w:eastAsia="Times New Roman" w:hAnsi="Arial" w:cs="Arial"/>
          <w:b/>
          <w:sz w:val="20"/>
          <w:szCs w:val="20"/>
          <w:lang w:eastAsia="ru-RU"/>
        </w:rPr>
        <w:t xml:space="preserve">последние изменения законодательства по состоянию на </w:t>
      </w:r>
      <w:r w:rsidRPr="00FF1145">
        <w:rPr>
          <w:rFonts w:ascii="Arial" w:eastAsia="Times New Roman" w:hAnsi="Arial" w:cs="Arial"/>
          <w:b/>
          <w:sz w:val="20"/>
          <w:szCs w:val="20"/>
          <w:lang w:eastAsia="ru-RU"/>
        </w:rPr>
        <w:t xml:space="preserve">1 </w:t>
      </w:r>
      <w:r w:rsidR="00AC1B6A">
        <w:rPr>
          <w:rFonts w:ascii="Arial" w:eastAsia="Times New Roman" w:hAnsi="Arial" w:cs="Arial"/>
          <w:b/>
          <w:sz w:val="20"/>
          <w:szCs w:val="20"/>
          <w:lang w:eastAsia="ru-RU"/>
        </w:rPr>
        <w:t>ию</w:t>
      </w:r>
      <w:r w:rsidR="006F52FF">
        <w:rPr>
          <w:rFonts w:ascii="Arial" w:eastAsia="Times New Roman" w:hAnsi="Arial" w:cs="Arial"/>
          <w:b/>
          <w:sz w:val="20"/>
          <w:szCs w:val="20"/>
          <w:lang w:eastAsia="ru-RU"/>
        </w:rPr>
        <w:t>л</w:t>
      </w:r>
      <w:r w:rsidR="00AC1B6A">
        <w:rPr>
          <w:rFonts w:ascii="Arial" w:eastAsia="Times New Roman" w:hAnsi="Arial" w:cs="Arial"/>
          <w:b/>
          <w:sz w:val="20"/>
          <w:szCs w:val="20"/>
          <w:lang w:eastAsia="ru-RU"/>
        </w:rPr>
        <w:t>я</w:t>
      </w:r>
      <w:r w:rsidR="00D81820" w:rsidRPr="00FF1145">
        <w:rPr>
          <w:rFonts w:ascii="Arial" w:eastAsia="Times New Roman" w:hAnsi="Arial" w:cs="Arial"/>
          <w:b/>
          <w:sz w:val="20"/>
          <w:szCs w:val="20"/>
          <w:lang w:eastAsia="ru-RU"/>
        </w:rPr>
        <w:t xml:space="preserve"> </w:t>
      </w:r>
      <w:r w:rsidRPr="00FF1145">
        <w:rPr>
          <w:rFonts w:ascii="Arial" w:eastAsia="Times New Roman" w:hAnsi="Arial" w:cs="Arial"/>
          <w:b/>
          <w:sz w:val="20"/>
          <w:szCs w:val="20"/>
          <w:lang w:eastAsia="ru-RU"/>
        </w:rPr>
        <w:t>2017 года</w:t>
      </w:r>
      <w:r w:rsidR="00F471C9" w:rsidRPr="00FF1145">
        <w:rPr>
          <w:rFonts w:ascii="Arial" w:eastAsia="Times New Roman" w:hAnsi="Arial" w:cs="Arial"/>
          <w:b/>
          <w:sz w:val="20"/>
          <w:szCs w:val="20"/>
          <w:lang w:eastAsia="ru-RU"/>
        </w:rPr>
        <w:t>, являющиеся в той или иной степени значимыми для субъектов малого и среднего предпринимательства.</w:t>
      </w:r>
    </w:p>
    <w:p w:rsidR="00884206" w:rsidRPr="00FF1145" w:rsidRDefault="00884206" w:rsidP="00884206">
      <w:pPr>
        <w:spacing w:after="0" w:line="312" w:lineRule="auto"/>
        <w:jc w:val="both"/>
        <w:rPr>
          <w:rFonts w:ascii="Arial" w:eastAsia="Times New Roman" w:hAnsi="Arial" w:cs="Arial"/>
          <w:sz w:val="20"/>
          <w:szCs w:val="20"/>
          <w:lang w:eastAsia="ru-RU"/>
        </w:rPr>
      </w:pPr>
      <w:r w:rsidRPr="00FF1145">
        <w:rPr>
          <w:rFonts w:ascii="Arial" w:eastAsia="Times New Roman" w:hAnsi="Arial" w:cs="Arial"/>
          <w:sz w:val="20"/>
          <w:szCs w:val="20"/>
          <w:lang w:eastAsia="ru-RU"/>
        </w:rPr>
        <w:t> </w:t>
      </w:r>
    </w:p>
    <w:p w:rsidR="00F471C9" w:rsidRPr="00FF1145" w:rsidRDefault="00F471C9" w:rsidP="00884206">
      <w:pPr>
        <w:spacing w:after="0" w:line="312" w:lineRule="auto"/>
        <w:ind w:firstLine="547"/>
        <w:jc w:val="both"/>
        <w:rPr>
          <w:rFonts w:ascii="Arial" w:eastAsia="Times New Roman" w:hAnsi="Arial" w:cs="Arial"/>
          <w:b/>
          <w:bCs/>
          <w:sz w:val="20"/>
          <w:szCs w:val="20"/>
          <w:lang w:eastAsia="ru-RU"/>
        </w:rPr>
      </w:pPr>
    </w:p>
    <w:tbl>
      <w:tblPr>
        <w:tblStyle w:val="a5"/>
        <w:tblW w:w="0" w:type="auto"/>
        <w:tblLook w:val="04A0" w:firstRow="1" w:lastRow="0" w:firstColumn="1" w:lastColumn="0" w:noHBand="0" w:noVBand="1"/>
      </w:tblPr>
      <w:tblGrid>
        <w:gridCol w:w="328"/>
        <w:gridCol w:w="2119"/>
        <w:gridCol w:w="6898"/>
      </w:tblGrid>
      <w:tr w:rsidR="000B3635" w:rsidRPr="00FF1145" w:rsidTr="00FF1145">
        <w:tc>
          <w:tcPr>
            <w:tcW w:w="328" w:type="dxa"/>
          </w:tcPr>
          <w:p w:rsidR="000B3635" w:rsidRPr="00FF1145" w:rsidRDefault="000B3635"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1</w:t>
            </w:r>
          </w:p>
        </w:tc>
        <w:tc>
          <w:tcPr>
            <w:tcW w:w="2119" w:type="dxa"/>
          </w:tcPr>
          <w:p w:rsidR="000B3635" w:rsidRPr="00FF1145" w:rsidRDefault="006F52FF" w:rsidP="000B3635">
            <w:pPr>
              <w:jc w:val="both"/>
              <w:rPr>
                <w:rFonts w:ascii="Arial" w:eastAsia="Times New Roman" w:hAnsi="Arial" w:cs="Arial"/>
                <w:b/>
                <w:bCs/>
                <w:sz w:val="20"/>
                <w:szCs w:val="20"/>
                <w:lang w:eastAsia="ru-RU"/>
              </w:rPr>
            </w:pPr>
            <w:r w:rsidRPr="00CA1749">
              <w:rPr>
                <w:rFonts w:ascii="Arial" w:eastAsia="Times New Roman" w:hAnsi="Arial" w:cs="Arial"/>
                <w:b/>
                <w:bCs/>
                <w:sz w:val="20"/>
                <w:szCs w:val="20"/>
                <w:lang w:eastAsia="ru-RU"/>
              </w:rPr>
              <w:t>Налогообложение, бухгалтерский учет.</w:t>
            </w:r>
          </w:p>
        </w:tc>
        <w:tc>
          <w:tcPr>
            <w:tcW w:w="6898" w:type="dxa"/>
          </w:tcPr>
          <w:p w:rsidR="006F52FF" w:rsidRPr="00DA57DF" w:rsidRDefault="00FF1145" w:rsidP="006F52FF">
            <w:pPr>
              <w:pStyle w:val="a8"/>
              <w:rPr>
                <w:rFonts w:ascii="Helvetica" w:hAnsi="Helvetica" w:cs="Helvetica"/>
                <w:b/>
                <w:sz w:val="20"/>
                <w:szCs w:val="20"/>
              </w:rPr>
            </w:pPr>
            <w:r w:rsidRPr="00FF1145">
              <w:rPr>
                <w:rFonts w:ascii="Arial" w:hAnsi="Arial" w:cs="Arial"/>
                <w:sz w:val="20"/>
                <w:szCs w:val="20"/>
              </w:rPr>
              <w:t xml:space="preserve">            </w:t>
            </w:r>
            <w:r w:rsidR="00840B5E" w:rsidRPr="00B44F3B">
              <w:rPr>
                <w:rFonts w:ascii="Arial" w:hAnsi="Arial" w:cs="Arial"/>
                <w:b/>
                <w:bCs/>
                <w:sz w:val="20"/>
                <w:szCs w:val="20"/>
              </w:rPr>
              <w:t xml:space="preserve">            </w:t>
            </w:r>
            <w:r w:rsidR="006F52FF" w:rsidRPr="00DA57DF">
              <w:rPr>
                <w:rFonts w:ascii="Helvetica" w:hAnsi="Helvetica" w:cs="Helvetica"/>
                <w:b/>
                <w:sz w:val="20"/>
                <w:szCs w:val="20"/>
              </w:rPr>
              <w:t>Опубликованы контрольные соотношения показателей форм налоговой декларации</w:t>
            </w:r>
            <w:r w:rsidR="006F52FF" w:rsidRPr="00DA57DF">
              <w:rPr>
                <w:rFonts w:ascii="Helvetica" w:hAnsi="Helvetica" w:cs="Helvetica"/>
                <w:sz w:val="20"/>
                <w:szCs w:val="20"/>
              </w:rPr>
              <w:t xml:space="preserve"> </w:t>
            </w:r>
            <w:r w:rsidR="006F52FF" w:rsidRPr="00DA57DF">
              <w:rPr>
                <w:rFonts w:ascii="Helvetica" w:hAnsi="Helvetica" w:cs="Helvetica"/>
                <w:b/>
                <w:sz w:val="20"/>
                <w:szCs w:val="20"/>
              </w:rPr>
              <w:t>и налогового расчета по авансовому платежу по налогу на имущество организаций</w:t>
            </w:r>
          </w:p>
          <w:p w:rsidR="006F52FF" w:rsidRPr="00DA57D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DA57DF">
              <w:rPr>
                <w:rFonts w:ascii="Helvetica" w:hAnsi="Helvetica" w:cs="Helvetica"/>
                <w:sz w:val="20"/>
                <w:szCs w:val="20"/>
              </w:rPr>
              <w:t>Налоговая декларация по налогу на имущество организаций утверждена приказом ФНС России от 31.03.2017 N ММВ-7-21/271@.</w:t>
            </w:r>
          </w:p>
          <w:p w:rsidR="006F52F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DA57DF">
              <w:rPr>
                <w:rFonts w:ascii="Helvetica" w:hAnsi="Helvetica" w:cs="Helvetica"/>
                <w:sz w:val="20"/>
                <w:szCs w:val="20"/>
              </w:rPr>
              <w:t>С помощью контрольных соотношений налогоплательщики могут проверить, насколько правильно заполнена налоговая декларация.</w:t>
            </w:r>
          </w:p>
          <w:p w:rsidR="006F52FF" w:rsidRPr="00D0380B" w:rsidRDefault="006F52FF" w:rsidP="006F52FF">
            <w:pPr>
              <w:pStyle w:val="a8"/>
              <w:rPr>
                <w:rFonts w:ascii="Helvetica" w:hAnsi="Helvetica" w:cs="Helvetica"/>
                <w:b/>
                <w:sz w:val="20"/>
                <w:szCs w:val="20"/>
              </w:rPr>
            </w:pPr>
            <w:r w:rsidRPr="00D0380B">
              <w:rPr>
                <w:rFonts w:ascii="Helvetica" w:hAnsi="Helvetica" w:cs="Helvetica"/>
                <w:b/>
                <w:sz w:val="20"/>
                <w:szCs w:val="20"/>
              </w:rPr>
              <w:t xml:space="preserve">             Минфин России разъяснил, как определить размер доходов ИП, применяющего ПСН и УСН для целей применения ПСН</w:t>
            </w:r>
          </w:p>
          <w:p w:rsidR="006F52FF" w:rsidRPr="00D0380B" w:rsidRDefault="006F52FF" w:rsidP="006F52FF">
            <w:pPr>
              <w:pStyle w:val="a8"/>
              <w:rPr>
                <w:rFonts w:ascii="Helvetica" w:hAnsi="Helvetica" w:cs="Helvetica"/>
                <w:sz w:val="20"/>
                <w:szCs w:val="20"/>
              </w:rPr>
            </w:pPr>
            <w:r w:rsidRPr="00D0380B">
              <w:rPr>
                <w:rFonts w:ascii="Helvetica" w:hAnsi="Helvetica" w:cs="Helvetica"/>
                <w:sz w:val="20"/>
                <w:szCs w:val="20"/>
              </w:rPr>
              <w:t xml:space="preserve">В налоговые органы направлено письмо Минфина России, </w:t>
            </w:r>
            <w:r>
              <w:rPr>
                <w:rFonts w:ascii="Helvetica" w:hAnsi="Helvetica" w:cs="Helvetica"/>
                <w:sz w:val="20"/>
                <w:szCs w:val="20"/>
              </w:rPr>
              <w:t>в котором разъяснено следующее.</w:t>
            </w:r>
          </w:p>
          <w:p w:rsidR="006F52FF" w:rsidRPr="00D0380B" w:rsidRDefault="006F52FF" w:rsidP="006F52FF">
            <w:pPr>
              <w:pStyle w:val="a8"/>
              <w:rPr>
                <w:rFonts w:ascii="Helvetica" w:hAnsi="Helvetica" w:cs="Helvetica"/>
                <w:sz w:val="20"/>
                <w:szCs w:val="20"/>
              </w:rPr>
            </w:pPr>
            <w:r w:rsidRPr="00D0380B">
              <w:rPr>
                <w:rFonts w:ascii="Helvetica" w:hAnsi="Helvetica" w:cs="Helvetica"/>
                <w:sz w:val="20"/>
                <w:szCs w:val="20"/>
              </w:rPr>
              <w:t>Налогоплательщик считается утратившим право на применение ПСН, если с начала календарного года его д</w:t>
            </w:r>
            <w:r>
              <w:rPr>
                <w:rFonts w:ascii="Helvetica" w:hAnsi="Helvetica" w:cs="Helvetica"/>
                <w:sz w:val="20"/>
                <w:szCs w:val="20"/>
              </w:rPr>
              <w:t>оходы превысили 60 млн. рублей.</w:t>
            </w:r>
          </w:p>
          <w:p w:rsidR="00840B5E" w:rsidRPr="006F52FF" w:rsidRDefault="006F52FF" w:rsidP="006F52FF">
            <w:pPr>
              <w:pStyle w:val="a8"/>
              <w:rPr>
                <w:rFonts w:ascii="Helvetica" w:hAnsi="Helvetica" w:cs="Helvetica"/>
                <w:sz w:val="20"/>
                <w:szCs w:val="20"/>
              </w:rPr>
            </w:pPr>
            <w:r w:rsidRPr="00D0380B">
              <w:rPr>
                <w:rFonts w:ascii="Helvetica" w:hAnsi="Helvetica" w:cs="Helvetica"/>
                <w:sz w:val="20"/>
                <w:szCs w:val="20"/>
              </w:rPr>
              <w:t>В письме сообщается, что в случае, если налогоплательщик применяет одновременно ПСН и УСН, при определении величины доходов от реализации для целей соблюдения установленного ограничения, учитываются доходы по обоим указанным специальным налоговым режимам.</w:t>
            </w:r>
          </w:p>
          <w:p w:rsidR="008D2D6B" w:rsidRPr="00FF1145" w:rsidRDefault="008D2D6B" w:rsidP="009C7E91">
            <w:pPr>
              <w:pStyle w:val="1"/>
              <w:jc w:val="both"/>
              <w:outlineLvl w:val="0"/>
              <w:rPr>
                <w:rFonts w:ascii="Arial" w:hAnsi="Arial" w:cs="Arial"/>
                <w:b w:val="0"/>
                <w:sz w:val="20"/>
                <w:szCs w:val="20"/>
              </w:rPr>
            </w:pPr>
          </w:p>
        </w:tc>
      </w:tr>
      <w:tr w:rsidR="000B3635" w:rsidRPr="00FF1145" w:rsidTr="00FF1145">
        <w:tc>
          <w:tcPr>
            <w:tcW w:w="328" w:type="dxa"/>
          </w:tcPr>
          <w:p w:rsidR="000B3635" w:rsidRPr="00FF1145" w:rsidRDefault="000B3635"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2</w:t>
            </w:r>
          </w:p>
        </w:tc>
        <w:tc>
          <w:tcPr>
            <w:tcW w:w="2119" w:type="dxa"/>
          </w:tcPr>
          <w:p w:rsidR="00432735" w:rsidRPr="00FF1145" w:rsidRDefault="006F52FF" w:rsidP="00F46A90">
            <w:pPr>
              <w:jc w:val="both"/>
              <w:rPr>
                <w:rFonts w:ascii="Arial" w:eastAsia="Times New Roman" w:hAnsi="Arial" w:cs="Arial"/>
                <w:b/>
                <w:bCs/>
                <w:sz w:val="20"/>
                <w:szCs w:val="20"/>
                <w:lang w:eastAsia="ru-RU"/>
              </w:rPr>
            </w:pPr>
            <w:r w:rsidRPr="00CA1749">
              <w:rPr>
                <w:rFonts w:ascii="Helvetica" w:hAnsi="Helvetica" w:cs="Helvetica"/>
                <w:b/>
                <w:sz w:val="20"/>
                <w:szCs w:val="20"/>
              </w:rPr>
              <w:t>2. Уплата страховых взносов</w:t>
            </w:r>
            <w:r>
              <w:rPr>
                <w:rFonts w:ascii="Helvetica" w:hAnsi="Helvetica" w:cs="Helvetica"/>
                <w:sz w:val="20"/>
                <w:szCs w:val="20"/>
              </w:rPr>
              <w:t>.</w:t>
            </w: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p w:rsidR="00432735" w:rsidRPr="00FF1145" w:rsidRDefault="00432735" w:rsidP="00F46A90">
            <w:pPr>
              <w:jc w:val="both"/>
              <w:rPr>
                <w:rFonts w:ascii="Arial" w:eastAsia="Times New Roman" w:hAnsi="Arial" w:cs="Arial"/>
                <w:b/>
                <w:bCs/>
                <w:sz w:val="20"/>
                <w:szCs w:val="20"/>
                <w:lang w:eastAsia="ru-RU"/>
              </w:rPr>
            </w:pPr>
          </w:p>
        </w:tc>
        <w:tc>
          <w:tcPr>
            <w:tcW w:w="6898" w:type="dxa"/>
          </w:tcPr>
          <w:p w:rsidR="006F52FF" w:rsidRPr="00CE7DD2" w:rsidRDefault="00F46A90" w:rsidP="006F52FF">
            <w:pPr>
              <w:pStyle w:val="a8"/>
              <w:rPr>
                <w:rFonts w:ascii="Helvetica" w:hAnsi="Helvetica" w:cs="Helvetica"/>
                <w:b/>
                <w:sz w:val="20"/>
                <w:szCs w:val="20"/>
              </w:rPr>
            </w:pPr>
            <w:r w:rsidRPr="00FF1145">
              <w:rPr>
                <w:rFonts w:ascii="Arial" w:hAnsi="Arial" w:cs="Arial"/>
                <w:sz w:val="20"/>
                <w:szCs w:val="20"/>
              </w:rPr>
              <w:t xml:space="preserve">              </w:t>
            </w:r>
            <w:r w:rsidR="006F52FF">
              <w:rPr>
                <w:rFonts w:ascii="Arial" w:hAnsi="Arial" w:cs="Arial"/>
                <w:b/>
                <w:sz w:val="20"/>
                <w:szCs w:val="20"/>
              </w:rPr>
              <w:t xml:space="preserve">   </w:t>
            </w:r>
            <w:r w:rsidR="006F52FF" w:rsidRPr="00941275">
              <w:rPr>
                <w:rFonts w:ascii="Helvetica" w:hAnsi="Helvetica" w:cs="Helvetica"/>
                <w:b/>
                <w:sz w:val="20"/>
                <w:szCs w:val="20"/>
              </w:rPr>
              <w:t xml:space="preserve"> </w:t>
            </w:r>
            <w:r w:rsidR="006F52FF" w:rsidRPr="00CE7DD2">
              <w:rPr>
                <w:rFonts w:ascii="Helvetica" w:hAnsi="Helvetica" w:cs="Helvetica"/>
                <w:b/>
                <w:sz w:val="20"/>
                <w:szCs w:val="20"/>
              </w:rPr>
              <w:t>Индивидуальные предприниматели, применяющие УСН, уплачивают страховые взносы на ОПС с суммы фактически полученного дохода без учета расходов</w:t>
            </w:r>
          </w:p>
          <w:p w:rsidR="006F52FF" w:rsidRPr="00CE7DD2"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 xml:space="preserve">Вывод Минфина России основан на положениях подпункта 3 пункта 9 статьи 430 НК РФ, согласно которым в целях исчисления страховых взносов в фиксированном размере для плательщиков, применяющих УСН, доход определяется в соответствии со статьей 346.15 НК </w:t>
            </w:r>
            <w:proofErr w:type="gramStart"/>
            <w:r w:rsidRPr="00CE7DD2">
              <w:rPr>
                <w:rFonts w:ascii="Helvetica" w:hAnsi="Helvetica" w:cs="Helvetica"/>
                <w:sz w:val="20"/>
                <w:szCs w:val="20"/>
              </w:rPr>
              <w:t xml:space="preserve">РФ, </w:t>
            </w:r>
            <w:r>
              <w:rPr>
                <w:rFonts w:ascii="Helvetica" w:hAnsi="Helvetica" w:cs="Helvetica"/>
                <w:sz w:val="20"/>
                <w:szCs w:val="20"/>
              </w:rPr>
              <w:t xml:space="preserve"> </w:t>
            </w:r>
            <w:r w:rsidRPr="00CE7DD2">
              <w:rPr>
                <w:rFonts w:ascii="Helvetica" w:hAnsi="Helvetica" w:cs="Helvetica"/>
                <w:sz w:val="20"/>
                <w:szCs w:val="20"/>
              </w:rPr>
              <w:t>т.е.</w:t>
            </w:r>
            <w:proofErr w:type="gramEnd"/>
            <w:r w:rsidRPr="00CE7DD2">
              <w:rPr>
                <w:rFonts w:ascii="Helvetica" w:hAnsi="Helvetica" w:cs="Helvetica"/>
                <w:sz w:val="20"/>
                <w:szCs w:val="20"/>
              </w:rPr>
              <w:t xml:space="preserve"> исходя из доходов, упомянутых в пунктах 1 и 2 статьи</w:t>
            </w:r>
            <w:r>
              <w:rPr>
                <w:rFonts w:ascii="Helvetica" w:hAnsi="Helvetica" w:cs="Helvetica"/>
                <w:sz w:val="20"/>
                <w:szCs w:val="20"/>
              </w:rPr>
              <w:t xml:space="preserve"> 248 НК РФ, без учета расходов.</w:t>
            </w:r>
          </w:p>
          <w:p w:rsidR="006F52FF" w:rsidRPr="00CE7DD2"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 xml:space="preserve">Также в письме сообщается об определении Верховного Суда РФ (по-видимому, речь идет об Определении от 13.06.2017 N 306-КГ17-423 по </w:t>
            </w:r>
            <w:r>
              <w:rPr>
                <w:rFonts w:ascii="Helvetica" w:hAnsi="Helvetica" w:cs="Helvetica"/>
                <w:sz w:val="20"/>
                <w:szCs w:val="20"/>
              </w:rPr>
              <w:t>делу N А12-23593/2016).</w:t>
            </w:r>
          </w:p>
          <w:p w:rsidR="006F52FF" w:rsidRDefault="006F52FF" w:rsidP="006F52FF">
            <w:pPr>
              <w:pStyle w:val="a8"/>
              <w:rPr>
                <w:rFonts w:ascii="Helvetica" w:hAnsi="Helvetica" w:cs="Helvetica"/>
                <w:sz w:val="20"/>
                <w:szCs w:val="20"/>
              </w:rPr>
            </w:pPr>
            <w:r>
              <w:rPr>
                <w:rFonts w:ascii="Helvetica" w:hAnsi="Helvetica" w:cs="Helvetica"/>
                <w:sz w:val="20"/>
                <w:szCs w:val="20"/>
              </w:rPr>
              <w:t xml:space="preserve">               </w:t>
            </w:r>
            <w:r w:rsidRPr="00CE7DD2">
              <w:rPr>
                <w:rFonts w:ascii="Helvetica" w:hAnsi="Helvetica" w:cs="Helvetica"/>
                <w:sz w:val="20"/>
                <w:szCs w:val="20"/>
              </w:rPr>
              <w:t xml:space="preserve">Отмечено, что данное определение принято в отношении исчисления и уплаты страховых взносов в государственные внебюджетные фонды, которые регулировались Федеральным законом от 24.07.2009 N 212-ФЗ "О страховых взносах в Пенсионный фонд Российской Федерации, Фонд социального страхования </w:t>
            </w:r>
            <w:r w:rsidRPr="00CE7DD2">
              <w:rPr>
                <w:rFonts w:ascii="Helvetica" w:hAnsi="Helvetica" w:cs="Helvetica"/>
                <w:sz w:val="20"/>
                <w:szCs w:val="20"/>
              </w:rPr>
              <w:lastRenderedPageBreak/>
              <w:t>Российской Федерации, Федеральный фонд обязательного медицинского страхования", действовавшим до 1 января 2017 года.</w:t>
            </w:r>
          </w:p>
          <w:p w:rsidR="006F52FF" w:rsidRPr="00941275" w:rsidRDefault="006F52FF" w:rsidP="006F52FF">
            <w:pPr>
              <w:pStyle w:val="a8"/>
              <w:rPr>
                <w:rFonts w:ascii="Helvetica" w:hAnsi="Helvetica" w:cs="Helvetica"/>
                <w:sz w:val="20"/>
                <w:szCs w:val="20"/>
              </w:rPr>
            </w:pPr>
            <w:r w:rsidRPr="00941275">
              <w:rPr>
                <w:rFonts w:ascii="Helvetica" w:hAnsi="Helvetica" w:cs="Helvetica"/>
                <w:sz w:val="20"/>
                <w:szCs w:val="20"/>
              </w:rPr>
              <w:t xml:space="preserve">                В формы документов, применяемых при расчетах по налогу на добавленную стоимость, включена новая строка - "Идентификатор государственного контракта, договора (соглашения)"</w:t>
            </w:r>
          </w:p>
          <w:p w:rsidR="006F52FF" w:rsidRPr="00941275" w:rsidRDefault="006F52FF" w:rsidP="006F52FF">
            <w:pPr>
              <w:pStyle w:val="a8"/>
              <w:rPr>
                <w:rFonts w:ascii="Helvetica" w:hAnsi="Helvetica" w:cs="Helvetica"/>
                <w:sz w:val="20"/>
                <w:szCs w:val="20"/>
              </w:rPr>
            </w:pPr>
            <w:r w:rsidRPr="00941275">
              <w:rPr>
                <w:rFonts w:ascii="Helvetica" w:hAnsi="Helvetica" w:cs="Helvetica"/>
                <w:sz w:val="20"/>
                <w:szCs w:val="20"/>
              </w:rPr>
              <w:t xml:space="preserve">                Указанные изменения внесены в форму счета-фактуры, применяемого при расчетах по налогу на добавленную стоимость, и в форму корректировочного счета-фактуры, применяемого при расчетах по налогу на добавленную стоимость, а</w:t>
            </w:r>
            <w:r>
              <w:rPr>
                <w:rFonts w:ascii="Helvetica" w:hAnsi="Helvetica" w:cs="Helvetica"/>
                <w:sz w:val="20"/>
                <w:szCs w:val="20"/>
              </w:rPr>
              <w:t xml:space="preserve"> также в правила их заполнения.</w:t>
            </w:r>
          </w:p>
          <w:p w:rsidR="006F52FF" w:rsidRPr="00BD3FCD" w:rsidRDefault="006F52FF" w:rsidP="006F52FF">
            <w:pPr>
              <w:autoSpaceDE w:val="0"/>
              <w:autoSpaceDN w:val="0"/>
              <w:adjustRightInd w:val="0"/>
              <w:jc w:val="both"/>
              <w:rPr>
                <w:rFonts w:ascii="Helvetica" w:hAnsi="Helvetica" w:cs="Helvetica"/>
                <w:sz w:val="20"/>
                <w:szCs w:val="20"/>
              </w:rPr>
            </w:pPr>
            <w:r w:rsidRPr="00941275">
              <w:rPr>
                <w:rFonts w:ascii="Helvetica" w:hAnsi="Helvetica" w:cs="Helvetica"/>
                <w:sz w:val="20"/>
                <w:szCs w:val="20"/>
              </w:rPr>
              <w:t xml:space="preserve">                 Настоящее постановление вступает в силу по истечении месяца со дня его официального опубликования и не ранее 1-го числа очередного налогового периода по налогу на добавленную стоимость</w:t>
            </w:r>
          </w:p>
          <w:p w:rsidR="00840B5E" w:rsidRPr="00BD3FCD" w:rsidRDefault="00840B5E" w:rsidP="00840B5E">
            <w:pPr>
              <w:pStyle w:val="a8"/>
              <w:rPr>
                <w:rFonts w:ascii="Helvetica" w:hAnsi="Helvetica" w:cs="Helvetica"/>
                <w:sz w:val="20"/>
                <w:szCs w:val="20"/>
              </w:rPr>
            </w:pPr>
          </w:p>
          <w:p w:rsidR="008D2D6B" w:rsidRPr="00FF1145" w:rsidRDefault="008D2D6B" w:rsidP="00FF1145">
            <w:pPr>
              <w:autoSpaceDE w:val="0"/>
              <w:autoSpaceDN w:val="0"/>
              <w:adjustRightInd w:val="0"/>
              <w:jc w:val="both"/>
              <w:rPr>
                <w:rFonts w:ascii="Arial" w:eastAsia="Times New Roman" w:hAnsi="Arial" w:cs="Arial"/>
                <w:bCs/>
                <w:color w:val="000000"/>
                <w:sz w:val="20"/>
                <w:szCs w:val="20"/>
                <w:lang w:eastAsia="ru-RU"/>
              </w:rPr>
            </w:pPr>
          </w:p>
        </w:tc>
      </w:tr>
      <w:tr w:rsidR="009C7E91" w:rsidRPr="00FF1145" w:rsidTr="00FF1145">
        <w:tc>
          <w:tcPr>
            <w:tcW w:w="328" w:type="dxa"/>
          </w:tcPr>
          <w:p w:rsidR="009C7E91" w:rsidRPr="00FF1145" w:rsidRDefault="009C7E91" w:rsidP="000B36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lastRenderedPageBreak/>
              <w:t>3</w:t>
            </w:r>
          </w:p>
        </w:tc>
        <w:tc>
          <w:tcPr>
            <w:tcW w:w="2119" w:type="dxa"/>
          </w:tcPr>
          <w:p w:rsidR="009C7E91" w:rsidRPr="00FF1145" w:rsidRDefault="00840B5E" w:rsidP="00FF1145">
            <w:pPr>
              <w:autoSpaceDE w:val="0"/>
              <w:autoSpaceDN w:val="0"/>
              <w:adjustRightInd w:val="0"/>
              <w:jc w:val="both"/>
              <w:rPr>
                <w:rFonts w:ascii="Arial" w:eastAsia="Times New Roman" w:hAnsi="Arial" w:cs="Arial"/>
                <w:b/>
                <w:bCs/>
                <w:sz w:val="20"/>
                <w:szCs w:val="20"/>
                <w:lang w:eastAsia="ru-RU"/>
              </w:rPr>
            </w:pPr>
            <w:r>
              <w:rPr>
                <w:rFonts w:ascii="Arial" w:hAnsi="Arial" w:cs="Arial"/>
                <w:b/>
                <w:sz w:val="20"/>
                <w:szCs w:val="20"/>
              </w:rPr>
              <w:t>Проверки контролирующими органами</w:t>
            </w:r>
          </w:p>
        </w:tc>
        <w:tc>
          <w:tcPr>
            <w:tcW w:w="6898" w:type="dxa"/>
          </w:tcPr>
          <w:p w:rsidR="006F52FF" w:rsidRPr="0032713D" w:rsidRDefault="009C7E91" w:rsidP="006F52FF">
            <w:pPr>
              <w:autoSpaceDE w:val="0"/>
              <w:autoSpaceDN w:val="0"/>
              <w:adjustRightInd w:val="0"/>
              <w:jc w:val="both"/>
              <w:rPr>
                <w:rStyle w:val="a9"/>
                <w:rFonts w:ascii="Arial" w:eastAsia="Times New Roman" w:hAnsi="Arial" w:cs="Arial"/>
                <w:sz w:val="20"/>
                <w:szCs w:val="20"/>
                <w:lang w:eastAsia="ru-RU"/>
              </w:rPr>
            </w:pPr>
            <w:r w:rsidRPr="00FF1145">
              <w:t xml:space="preserve">       </w:t>
            </w:r>
            <w:r w:rsidR="006F52FF" w:rsidRPr="001029DB">
              <w:rPr>
                <w:rStyle w:val="a9"/>
                <w:rFonts w:ascii="Arial" w:eastAsia="Times New Roman" w:hAnsi="Arial" w:cs="Arial"/>
                <w:sz w:val="20"/>
                <w:szCs w:val="20"/>
                <w:lang w:eastAsia="ru-RU"/>
              </w:rPr>
              <w:t xml:space="preserve">            </w:t>
            </w:r>
            <w:r w:rsidR="006F52FF" w:rsidRPr="0032713D">
              <w:rPr>
                <w:rStyle w:val="a9"/>
                <w:rFonts w:ascii="Arial" w:eastAsia="Times New Roman" w:hAnsi="Arial" w:cs="Arial"/>
                <w:sz w:val="20"/>
                <w:szCs w:val="20"/>
                <w:lang w:eastAsia="ru-RU"/>
              </w:rPr>
              <w:t>С 1 октября 2017 года государственные транспортные инспекторы будут проводить плановые выездные проверки с использованием проверочных листов</w:t>
            </w:r>
          </w:p>
          <w:p w:rsidR="006F52FF" w:rsidRPr="0032713D" w:rsidRDefault="006F52FF" w:rsidP="006F52FF">
            <w:pPr>
              <w:autoSpaceDE w:val="0"/>
              <w:autoSpaceDN w:val="0"/>
              <w:adjustRightInd w:val="0"/>
              <w:jc w:val="both"/>
              <w:rPr>
                <w:rStyle w:val="a9"/>
                <w:rFonts w:ascii="Arial" w:eastAsia="Times New Roman" w:hAnsi="Arial" w:cs="Arial"/>
                <w:sz w:val="20"/>
                <w:szCs w:val="20"/>
                <w:lang w:eastAsia="ru-RU"/>
              </w:rPr>
            </w:pPr>
          </w:p>
          <w:p w:rsidR="006F52FF" w:rsidRPr="0032713D"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32713D">
              <w:rPr>
                <w:rStyle w:val="a9"/>
                <w:rFonts w:ascii="Arial" w:eastAsia="Times New Roman" w:hAnsi="Arial" w:cs="Arial"/>
                <w:b w:val="0"/>
                <w:sz w:val="20"/>
                <w:szCs w:val="20"/>
                <w:lang w:eastAsia="ru-RU"/>
              </w:rPr>
              <w:t>С указанной даты использование проверочных листов (списков контрольных вопросов) будет осуществляться при проведении плановых выездных проверок всех юридических лиц и индивидуальных предпринимателей.</w:t>
            </w:r>
          </w:p>
          <w:p w:rsidR="006F52FF" w:rsidRPr="0032713D"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32713D">
              <w:rPr>
                <w:rStyle w:val="a9"/>
                <w:rFonts w:ascii="Arial" w:eastAsia="Times New Roman" w:hAnsi="Arial" w:cs="Arial"/>
                <w:b w:val="0"/>
                <w:sz w:val="20"/>
                <w:szCs w:val="20"/>
                <w:lang w:eastAsia="ru-RU"/>
              </w:rPr>
              <w:t>Предмет плановой проверки будет ограничен перечнем вопросов, включенных в проверочные листы (списки контрольных вопросов).</w:t>
            </w:r>
          </w:p>
          <w:p w:rsidR="006F52FF" w:rsidRDefault="006F52FF" w:rsidP="006F52FF">
            <w:pPr>
              <w:autoSpaceDE w:val="0"/>
              <w:autoSpaceDN w:val="0"/>
              <w:adjustRightInd w:val="0"/>
              <w:jc w:val="both"/>
              <w:rPr>
                <w:rStyle w:val="a9"/>
                <w:rFonts w:ascii="Arial" w:eastAsia="Times New Roman" w:hAnsi="Arial" w:cs="Arial"/>
                <w:sz w:val="20"/>
                <w:szCs w:val="20"/>
                <w:lang w:eastAsia="ru-RU"/>
              </w:rPr>
            </w:pPr>
            <w:r>
              <w:rPr>
                <w:rStyle w:val="a9"/>
                <w:rFonts w:ascii="Arial" w:eastAsia="Times New Roman" w:hAnsi="Arial" w:cs="Arial"/>
                <w:b w:val="0"/>
                <w:sz w:val="20"/>
                <w:szCs w:val="20"/>
                <w:lang w:eastAsia="ru-RU"/>
              </w:rPr>
              <w:t xml:space="preserve">              </w:t>
            </w:r>
            <w:r w:rsidRPr="0032713D">
              <w:rPr>
                <w:rStyle w:val="a9"/>
                <w:rFonts w:ascii="Arial" w:eastAsia="Times New Roman" w:hAnsi="Arial" w:cs="Arial"/>
                <w:b w:val="0"/>
                <w:sz w:val="20"/>
                <w:szCs w:val="20"/>
                <w:lang w:eastAsia="ru-RU"/>
              </w:rPr>
              <w:t>При этом проверочные листы (списки контрольных вопросов) будут содержать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32713D">
              <w:rPr>
                <w:rStyle w:val="a9"/>
                <w:rFonts w:ascii="Arial" w:eastAsia="Times New Roman" w:hAnsi="Arial" w:cs="Arial"/>
                <w:sz w:val="20"/>
                <w:szCs w:val="20"/>
                <w:lang w:eastAsia="ru-RU"/>
              </w:rPr>
              <w:t xml:space="preserve"> РФ, безопасности государства, а также угрозы ЧС природного и техногенного характера.</w:t>
            </w:r>
          </w:p>
          <w:p w:rsidR="006F52FF" w:rsidRPr="00D0380B" w:rsidRDefault="006F52FF" w:rsidP="006F52FF">
            <w:pPr>
              <w:autoSpaceDE w:val="0"/>
              <w:autoSpaceDN w:val="0"/>
              <w:adjustRightInd w:val="0"/>
              <w:jc w:val="both"/>
              <w:rPr>
                <w:rStyle w:val="a9"/>
                <w:rFonts w:ascii="Arial" w:eastAsia="Times New Roman" w:hAnsi="Arial" w:cs="Arial"/>
                <w:sz w:val="20"/>
                <w:szCs w:val="20"/>
                <w:lang w:eastAsia="ru-RU"/>
              </w:rPr>
            </w:pPr>
            <w:r>
              <w:rPr>
                <w:rStyle w:val="a9"/>
                <w:rFonts w:ascii="Arial" w:eastAsia="Times New Roman" w:hAnsi="Arial" w:cs="Arial"/>
                <w:sz w:val="20"/>
                <w:szCs w:val="20"/>
                <w:lang w:eastAsia="ru-RU"/>
              </w:rPr>
              <w:t xml:space="preserve">              </w:t>
            </w:r>
            <w:r w:rsidRPr="00D0380B">
              <w:rPr>
                <w:rStyle w:val="a9"/>
                <w:rFonts w:ascii="Arial" w:eastAsia="Times New Roman" w:hAnsi="Arial" w:cs="Arial"/>
                <w:sz w:val="20"/>
                <w:szCs w:val="20"/>
                <w:lang w:eastAsia="ru-RU"/>
              </w:rPr>
              <w:t>С 1 октября 2017 года при проведении плановых проверок отдельных ЮЛ и ИП будут использоваться проверочные листы с перечнем вопросов по соблюдению ими обязательных санитарн</w:t>
            </w:r>
            <w:r>
              <w:rPr>
                <w:rStyle w:val="a9"/>
                <w:rFonts w:ascii="Arial" w:eastAsia="Times New Roman" w:hAnsi="Arial" w:cs="Arial"/>
                <w:sz w:val="20"/>
                <w:szCs w:val="20"/>
                <w:lang w:eastAsia="ru-RU"/>
              </w:rPr>
              <w:t>о-эпидемиологических требований</w:t>
            </w:r>
          </w:p>
          <w:p w:rsidR="006F52FF" w:rsidRPr="00D0380B"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Установлено, что с 1 октября 2017 года в отношении отдельных юридических лиц и индивидуальных предпринимателей, а с 1 июля 2018 года - в отношении всех юридических лиц и индивидуальных предпринимателей, при проведении плановых проверок будут использоваться проверочные листы (списки контрольных вопросов), которые будут включать в себя перечни вопросов, затрагивающих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6F52FF" w:rsidRPr="00D0380B" w:rsidRDefault="006F52FF" w:rsidP="006F52FF">
            <w:pPr>
              <w:autoSpaceDE w:val="0"/>
              <w:autoSpaceDN w:val="0"/>
              <w:adjustRightInd w:val="0"/>
              <w:jc w:val="both"/>
              <w:rPr>
                <w:rStyle w:val="a9"/>
                <w:rFonts w:ascii="Arial" w:eastAsia="Times New Roman" w:hAnsi="Arial" w:cs="Arial"/>
                <w:b w:val="0"/>
                <w:sz w:val="20"/>
                <w:szCs w:val="20"/>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Предмет плановой проверки будет ограничен только вопросами, включенными в данные проверочные листы.</w:t>
            </w:r>
          </w:p>
          <w:p w:rsidR="006F52FF" w:rsidRPr="00FF1145" w:rsidRDefault="006F52FF" w:rsidP="006F52FF">
            <w:pPr>
              <w:autoSpaceDE w:val="0"/>
              <w:autoSpaceDN w:val="0"/>
              <w:adjustRightInd w:val="0"/>
              <w:jc w:val="both"/>
              <w:rPr>
                <w:lang w:eastAsia="ru-RU"/>
              </w:rPr>
            </w:pPr>
            <w:r>
              <w:rPr>
                <w:rStyle w:val="a9"/>
                <w:rFonts w:ascii="Arial" w:eastAsia="Times New Roman" w:hAnsi="Arial" w:cs="Arial"/>
                <w:b w:val="0"/>
                <w:sz w:val="20"/>
                <w:szCs w:val="20"/>
                <w:lang w:eastAsia="ru-RU"/>
              </w:rPr>
              <w:t xml:space="preserve">            </w:t>
            </w:r>
            <w:r w:rsidRPr="00D0380B">
              <w:rPr>
                <w:rStyle w:val="a9"/>
                <w:rFonts w:ascii="Arial" w:eastAsia="Times New Roman" w:hAnsi="Arial" w:cs="Arial"/>
                <w:b w:val="0"/>
                <w:sz w:val="20"/>
                <w:szCs w:val="20"/>
                <w:lang w:eastAsia="ru-RU"/>
              </w:rPr>
              <w:t xml:space="preserve">Перечень отдельных </w:t>
            </w:r>
            <w:proofErr w:type="spellStart"/>
            <w:r w:rsidRPr="00D0380B">
              <w:rPr>
                <w:rStyle w:val="a9"/>
                <w:rFonts w:ascii="Arial" w:eastAsia="Times New Roman" w:hAnsi="Arial" w:cs="Arial"/>
                <w:b w:val="0"/>
                <w:sz w:val="20"/>
                <w:szCs w:val="20"/>
                <w:lang w:eastAsia="ru-RU"/>
              </w:rPr>
              <w:t>юрлиц</w:t>
            </w:r>
            <w:proofErr w:type="spellEnd"/>
            <w:r w:rsidRPr="00D0380B">
              <w:rPr>
                <w:rStyle w:val="a9"/>
                <w:rFonts w:ascii="Arial" w:eastAsia="Times New Roman" w:hAnsi="Arial" w:cs="Arial"/>
                <w:b w:val="0"/>
                <w:sz w:val="20"/>
                <w:szCs w:val="20"/>
                <w:lang w:eastAsia="ru-RU"/>
              </w:rPr>
              <w:t xml:space="preserve"> и ИП, при проведении с 1 октября 2017 </w:t>
            </w:r>
            <w:proofErr w:type="gramStart"/>
            <w:r w:rsidRPr="00D0380B">
              <w:rPr>
                <w:rStyle w:val="a9"/>
                <w:rFonts w:ascii="Arial" w:eastAsia="Times New Roman" w:hAnsi="Arial" w:cs="Arial"/>
                <w:b w:val="0"/>
                <w:sz w:val="20"/>
                <w:szCs w:val="20"/>
                <w:lang w:eastAsia="ru-RU"/>
              </w:rPr>
              <w:t>года проверок</w:t>
            </w:r>
            <w:proofErr w:type="gramEnd"/>
            <w:r w:rsidRPr="00D0380B">
              <w:rPr>
                <w:rStyle w:val="a9"/>
                <w:rFonts w:ascii="Arial" w:eastAsia="Times New Roman" w:hAnsi="Arial" w:cs="Arial"/>
                <w:b w:val="0"/>
                <w:sz w:val="20"/>
                <w:szCs w:val="20"/>
                <w:lang w:eastAsia="ru-RU"/>
              </w:rPr>
              <w:t xml:space="preserve"> которых предусматривается использование проверочных листов, будет определен по итогам установления </w:t>
            </w:r>
            <w:proofErr w:type="spellStart"/>
            <w:r w:rsidRPr="00D0380B">
              <w:rPr>
                <w:rStyle w:val="a9"/>
                <w:rFonts w:ascii="Arial" w:eastAsia="Times New Roman" w:hAnsi="Arial" w:cs="Arial"/>
                <w:b w:val="0"/>
                <w:sz w:val="20"/>
                <w:szCs w:val="20"/>
                <w:lang w:eastAsia="ru-RU"/>
              </w:rPr>
              <w:t>Роспотребнадзором</w:t>
            </w:r>
            <w:proofErr w:type="spellEnd"/>
            <w:r w:rsidRPr="00D0380B">
              <w:rPr>
                <w:rStyle w:val="a9"/>
                <w:rFonts w:ascii="Arial" w:eastAsia="Times New Roman" w:hAnsi="Arial" w:cs="Arial"/>
                <w:b w:val="0"/>
                <w:sz w:val="20"/>
                <w:szCs w:val="20"/>
                <w:lang w:eastAsia="ru-RU"/>
              </w:rPr>
              <w:t xml:space="preserve"> и ФМБА России типов (отдельных характеристик) производственных объектов, категорий риска осуществляемой </w:t>
            </w:r>
            <w:proofErr w:type="spellStart"/>
            <w:r w:rsidRPr="00D0380B">
              <w:rPr>
                <w:rStyle w:val="a9"/>
                <w:rFonts w:ascii="Arial" w:eastAsia="Times New Roman" w:hAnsi="Arial" w:cs="Arial"/>
                <w:b w:val="0"/>
                <w:sz w:val="20"/>
                <w:szCs w:val="20"/>
                <w:lang w:eastAsia="ru-RU"/>
              </w:rPr>
              <w:lastRenderedPageBreak/>
              <w:t>юрлицами</w:t>
            </w:r>
            <w:proofErr w:type="spellEnd"/>
            <w:r w:rsidRPr="00D0380B">
              <w:rPr>
                <w:rStyle w:val="a9"/>
                <w:rFonts w:ascii="Arial" w:eastAsia="Times New Roman" w:hAnsi="Arial" w:cs="Arial"/>
                <w:b w:val="0"/>
                <w:sz w:val="20"/>
                <w:szCs w:val="20"/>
                <w:lang w:eastAsia="ru-RU"/>
              </w:rPr>
              <w:t xml:space="preserve"> и ИП деятельности или используемых ими производственных объекто</w:t>
            </w:r>
            <w:r w:rsidRPr="00D0380B">
              <w:rPr>
                <w:rStyle w:val="a9"/>
                <w:rFonts w:ascii="Arial" w:eastAsia="Times New Roman" w:hAnsi="Arial" w:cs="Arial"/>
                <w:sz w:val="20"/>
                <w:szCs w:val="20"/>
                <w:lang w:eastAsia="ru-RU"/>
              </w:rPr>
              <w:t>в</w:t>
            </w:r>
          </w:p>
          <w:p w:rsidR="009C7E91" w:rsidRPr="00FF1145" w:rsidRDefault="009C7E91" w:rsidP="00840B5E">
            <w:pPr>
              <w:rPr>
                <w:lang w:eastAsia="ru-RU"/>
              </w:rPr>
            </w:pPr>
          </w:p>
        </w:tc>
      </w:tr>
      <w:tr w:rsidR="00624586" w:rsidRPr="00FF1145" w:rsidTr="00FF1145">
        <w:tc>
          <w:tcPr>
            <w:tcW w:w="328" w:type="dxa"/>
          </w:tcPr>
          <w:p w:rsidR="00624586" w:rsidRPr="00FF1145" w:rsidRDefault="009C7E91" w:rsidP="00624586">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lastRenderedPageBreak/>
              <w:t>4</w:t>
            </w:r>
          </w:p>
        </w:tc>
        <w:tc>
          <w:tcPr>
            <w:tcW w:w="2119" w:type="dxa"/>
          </w:tcPr>
          <w:p w:rsidR="00624586" w:rsidRPr="00FF1145" w:rsidRDefault="004475DC"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Участие в судопроизводстве</w:t>
            </w:r>
          </w:p>
        </w:tc>
        <w:tc>
          <w:tcPr>
            <w:tcW w:w="6898" w:type="dxa"/>
          </w:tcPr>
          <w:p w:rsidR="00840B5E" w:rsidRPr="00840B5E" w:rsidRDefault="004475DC" w:rsidP="00840B5E">
            <w:pPr>
              <w:spacing w:before="100" w:beforeAutospacing="1" w:after="100" w:afterAutospacing="1"/>
              <w:jc w:val="both"/>
              <w:rPr>
                <w:rFonts w:ascii="Arial" w:eastAsia="Times New Roman" w:hAnsi="Arial" w:cs="Arial"/>
                <w:sz w:val="20"/>
                <w:szCs w:val="20"/>
                <w:lang w:eastAsia="ru-RU"/>
              </w:rPr>
            </w:pPr>
            <w:r>
              <w:rPr>
                <w:rFonts w:ascii="Arial" w:eastAsia="Times New Roman" w:hAnsi="Arial" w:cs="Arial"/>
                <w:b/>
                <w:bCs/>
                <w:sz w:val="20"/>
                <w:szCs w:val="20"/>
                <w:lang w:eastAsia="ru-RU"/>
              </w:rPr>
              <w:t xml:space="preserve">               </w:t>
            </w:r>
            <w:r w:rsidR="00840B5E" w:rsidRPr="00840B5E">
              <w:rPr>
                <w:rFonts w:ascii="Arial" w:eastAsia="Times New Roman" w:hAnsi="Arial" w:cs="Arial"/>
                <w:b/>
                <w:bCs/>
                <w:sz w:val="20"/>
                <w:szCs w:val="20"/>
                <w:lang w:eastAsia="ru-RU"/>
              </w:rPr>
              <w:t xml:space="preserve">Правительство предусмотрело для </w:t>
            </w:r>
            <w:proofErr w:type="spellStart"/>
            <w:r w:rsidR="00840B5E" w:rsidRPr="00840B5E">
              <w:rPr>
                <w:rFonts w:ascii="Arial" w:eastAsia="Times New Roman" w:hAnsi="Arial" w:cs="Arial"/>
                <w:b/>
                <w:bCs/>
                <w:sz w:val="20"/>
                <w:szCs w:val="20"/>
                <w:lang w:eastAsia="ru-RU"/>
              </w:rPr>
              <w:t>юрлиц</w:t>
            </w:r>
            <w:proofErr w:type="spellEnd"/>
            <w:r w:rsidR="00840B5E" w:rsidRPr="00840B5E">
              <w:rPr>
                <w:rFonts w:ascii="Arial" w:eastAsia="Times New Roman" w:hAnsi="Arial" w:cs="Arial"/>
                <w:b/>
                <w:bCs/>
                <w:sz w:val="20"/>
                <w:szCs w:val="20"/>
                <w:lang w:eastAsia="ru-RU"/>
              </w:rPr>
              <w:t xml:space="preserve"> дополнительные обязанности:</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разрабатывать программу вводного инструктажа по гражданской обороне;</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организовывать и проводить его с сотрудниками в течение первого месяца их работы;</w:t>
            </w:r>
          </w:p>
          <w:p w:rsidR="00840B5E" w:rsidRPr="00840B5E" w:rsidRDefault="00840B5E" w:rsidP="00840B5E">
            <w:pPr>
              <w:numPr>
                <w:ilvl w:val="0"/>
                <w:numId w:val="3"/>
              </w:num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планировать и проводить учения и тренировки по гражданской обороне.</w:t>
            </w:r>
          </w:p>
          <w:p w:rsidR="00840B5E" w:rsidRPr="00840B5E" w:rsidRDefault="00840B5E" w:rsidP="00840B5E">
            <w:p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Заниматься подготовкой своих работников в области гражданской обороны организации должны и сейчас. В перечень обязанностей входят разработка программ обучения, его проведение, а также создание и поддержание в рабочем состоянии учебно-материальной базы. Со 2 мая эти обязанности также сохранятся, но с уточнением: речь будет идти о курсовом обучении.</w:t>
            </w:r>
          </w:p>
          <w:p w:rsidR="00840B5E" w:rsidRPr="00840B5E" w:rsidRDefault="00840B5E" w:rsidP="00840B5E">
            <w:pPr>
              <w:spacing w:before="100" w:beforeAutospacing="1" w:after="100" w:afterAutospacing="1"/>
              <w:jc w:val="both"/>
              <w:rPr>
                <w:rFonts w:ascii="Arial" w:eastAsia="Times New Roman" w:hAnsi="Arial" w:cs="Arial"/>
                <w:sz w:val="20"/>
                <w:szCs w:val="20"/>
                <w:lang w:eastAsia="ru-RU"/>
              </w:rPr>
            </w:pPr>
            <w:r w:rsidRPr="00840B5E">
              <w:rPr>
                <w:rFonts w:ascii="Arial" w:eastAsia="Times New Roman" w:hAnsi="Arial" w:cs="Arial"/>
                <w:sz w:val="20"/>
                <w:szCs w:val="20"/>
                <w:lang w:eastAsia="ru-RU"/>
              </w:rPr>
              <w:t>За невыполнение требований и мероприятий в области гражданской обороны установлена административная ответственность. Организации грозит штраф от 100 тыс. до 200 тыс. руб., если не провести мероприятия по подготовке к защите и по защите работников от опасностей, которые возникают при военных действиях или вследствие них.</w:t>
            </w:r>
          </w:p>
          <w:p w:rsidR="00840B5E" w:rsidRPr="001811BE" w:rsidRDefault="00840B5E" w:rsidP="00840B5E">
            <w:pPr>
              <w:autoSpaceDE w:val="0"/>
              <w:autoSpaceDN w:val="0"/>
              <w:adjustRightInd w:val="0"/>
              <w:jc w:val="both"/>
              <w:rPr>
                <w:rFonts w:ascii="Arial" w:eastAsia="Times New Roman" w:hAnsi="Arial" w:cs="Arial"/>
                <w:b/>
                <w:bCs/>
                <w:kern w:val="36"/>
                <w:sz w:val="20"/>
                <w:szCs w:val="20"/>
                <w:lang w:eastAsia="ru-RU"/>
              </w:rPr>
            </w:pPr>
            <w:r>
              <w:rPr>
                <w:rFonts w:ascii="Arial" w:eastAsia="Times New Roman" w:hAnsi="Arial" w:cs="Arial"/>
                <w:b/>
                <w:bCs/>
                <w:kern w:val="36"/>
                <w:sz w:val="20"/>
                <w:szCs w:val="20"/>
                <w:lang w:eastAsia="ru-RU"/>
              </w:rPr>
              <w:t xml:space="preserve">            </w:t>
            </w:r>
            <w:r w:rsidRPr="001811BE">
              <w:rPr>
                <w:rFonts w:ascii="Arial" w:eastAsia="Times New Roman" w:hAnsi="Arial" w:cs="Arial"/>
                <w:b/>
                <w:bCs/>
                <w:kern w:val="36"/>
                <w:sz w:val="20"/>
                <w:szCs w:val="20"/>
                <w:lang w:eastAsia="ru-RU"/>
              </w:rPr>
              <w:t>Направить работнику расчетный листок, содержащий информацию о составных частях заработной платы, можн</w:t>
            </w:r>
            <w:r>
              <w:rPr>
                <w:rFonts w:ascii="Arial" w:eastAsia="Times New Roman" w:hAnsi="Arial" w:cs="Arial"/>
                <w:b/>
                <w:bCs/>
                <w:kern w:val="36"/>
                <w:sz w:val="20"/>
                <w:szCs w:val="20"/>
                <w:lang w:eastAsia="ru-RU"/>
              </w:rPr>
              <w:t>о посредством электронной почты</w:t>
            </w:r>
          </w:p>
          <w:p w:rsidR="00840B5E" w:rsidRPr="001811BE" w:rsidRDefault="00840B5E" w:rsidP="00840B5E">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При выплате заработной платы работодатель обязан извещать в письменной форме каждого работника, в том числе: о составных частях заработной платы, причитающейся ему за соответствующий период, о размерах иных начисленных сумм (отпускные, компенсации за нарушение сроков выплаты зарплаты и пр.), о размерах удержаний и общей денежной сумме</w:t>
            </w:r>
            <w:r>
              <w:rPr>
                <w:rFonts w:ascii="Arial" w:eastAsia="Times New Roman" w:hAnsi="Arial" w:cs="Arial"/>
                <w:bCs/>
                <w:kern w:val="36"/>
                <w:sz w:val="20"/>
                <w:szCs w:val="20"/>
                <w:lang w:eastAsia="ru-RU"/>
              </w:rPr>
              <w:t>, подлежащей выплате работнику.</w:t>
            </w:r>
          </w:p>
          <w:p w:rsidR="00840B5E" w:rsidRPr="001811BE" w:rsidRDefault="00840B5E" w:rsidP="00840B5E">
            <w:pPr>
              <w:autoSpaceDE w:val="0"/>
              <w:autoSpaceDN w:val="0"/>
              <w:adjustRightInd w:val="0"/>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В Трудовом кодексе РФ установлено, что форма расчетного листка утверждается работодателем. При этом порядок его н</w:t>
            </w:r>
            <w:r>
              <w:rPr>
                <w:rFonts w:ascii="Arial" w:eastAsia="Times New Roman" w:hAnsi="Arial" w:cs="Arial"/>
                <w:bCs/>
                <w:kern w:val="36"/>
                <w:sz w:val="20"/>
                <w:szCs w:val="20"/>
                <w:lang w:eastAsia="ru-RU"/>
              </w:rPr>
              <w:t>аправления не регламентируется.</w:t>
            </w:r>
          </w:p>
          <w:p w:rsidR="00624586" w:rsidRDefault="00840B5E" w:rsidP="00840B5E">
            <w:pPr>
              <w:jc w:val="both"/>
              <w:rPr>
                <w:rFonts w:ascii="Arial" w:eastAsia="Times New Roman" w:hAnsi="Arial" w:cs="Arial"/>
                <w:bCs/>
                <w:kern w:val="36"/>
                <w:sz w:val="20"/>
                <w:szCs w:val="20"/>
                <w:lang w:eastAsia="ru-RU"/>
              </w:rPr>
            </w:pPr>
            <w:r>
              <w:rPr>
                <w:rFonts w:ascii="Arial" w:eastAsia="Times New Roman" w:hAnsi="Arial" w:cs="Arial"/>
                <w:bCs/>
                <w:kern w:val="36"/>
                <w:sz w:val="20"/>
                <w:szCs w:val="20"/>
                <w:lang w:eastAsia="ru-RU"/>
              </w:rPr>
              <w:t xml:space="preserve">              </w:t>
            </w:r>
            <w:r w:rsidRPr="001811BE">
              <w:rPr>
                <w:rFonts w:ascii="Arial" w:eastAsia="Times New Roman" w:hAnsi="Arial" w:cs="Arial"/>
                <w:bCs/>
                <w:kern w:val="36"/>
                <w:sz w:val="20"/>
                <w:szCs w:val="20"/>
                <w:lang w:eastAsia="ru-RU"/>
              </w:rPr>
              <w:t>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w:t>
            </w:r>
          </w:p>
          <w:p w:rsidR="00840B5E" w:rsidRPr="00FF1145" w:rsidRDefault="00840B5E" w:rsidP="00887F80">
            <w:pPr>
              <w:pStyle w:val="a8"/>
              <w:jc w:val="both"/>
              <w:rPr>
                <w:rFonts w:ascii="Arial" w:hAnsi="Arial" w:cs="Arial"/>
                <w:bCs/>
                <w:sz w:val="20"/>
                <w:szCs w:val="20"/>
              </w:rPr>
            </w:pPr>
          </w:p>
        </w:tc>
      </w:tr>
      <w:tr w:rsidR="00624586" w:rsidRPr="00432735" w:rsidTr="00FF1145">
        <w:tc>
          <w:tcPr>
            <w:tcW w:w="328" w:type="dxa"/>
          </w:tcPr>
          <w:p w:rsidR="00624586" w:rsidRPr="00FF1145" w:rsidRDefault="009C7E91" w:rsidP="00624586">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5</w:t>
            </w:r>
          </w:p>
        </w:tc>
        <w:tc>
          <w:tcPr>
            <w:tcW w:w="2119" w:type="dxa"/>
          </w:tcPr>
          <w:p w:rsidR="00624586" w:rsidRPr="00FF1145" w:rsidRDefault="00FF1145" w:rsidP="00432735">
            <w:pPr>
              <w:jc w:val="both"/>
              <w:rPr>
                <w:rFonts w:ascii="Arial" w:eastAsia="Times New Roman" w:hAnsi="Arial" w:cs="Arial"/>
                <w:b/>
                <w:bCs/>
                <w:sz w:val="20"/>
                <w:szCs w:val="20"/>
                <w:lang w:eastAsia="ru-RU"/>
              </w:rPr>
            </w:pPr>
            <w:r w:rsidRPr="00FF1145">
              <w:rPr>
                <w:rFonts w:ascii="Arial" w:eastAsia="Times New Roman" w:hAnsi="Arial" w:cs="Arial"/>
                <w:b/>
                <w:bCs/>
                <w:sz w:val="20"/>
                <w:szCs w:val="20"/>
                <w:lang w:eastAsia="ru-RU"/>
              </w:rPr>
              <w:t>Контрольно-кассовая техника</w:t>
            </w:r>
          </w:p>
        </w:tc>
        <w:tc>
          <w:tcPr>
            <w:tcW w:w="6898" w:type="dxa"/>
          </w:tcPr>
          <w:p w:rsidR="004475DC" w:rsidRPr="00DA57DF" w:rsidRDefault="00FF1145" w:rsidP="004475DC">
            <w:pPr>
              <w:pStyle w:val="a8"/>
              <w:jc w:val="both"/>
              <w:rPr>
                <w:rStyle w:val="a9"/>
                <w:rFonts w:ascii="Arial" w:hAnsi="Arial" w:cs="Arial"/>
                <w:sz w:val="20"/>
                <w:szCs w:val="20"/>
              </w:rPr>
            </w:pPr>
            <w:r w:rsidRPr="00FF1145">
              <w:rPr>
                <w:rStyle w:val="a9"/>
                <w:rFonts w:ascii="Arial" w:hAnsi="Arial" w:cs="Arial"/>
                <w:sz w:val="20"/>
                <w:szCs w:val="20"/>
              </w:rPr>
              <w:t xml:space="preserve">          </w:t>
            </w:r>
            <w:r w:rsidR="004475DC" w:rsidRPr="00DA57DF">
              <w:rPr>
                <w:rStyle w:val="a9"/>
                <w:rFonts w:ascii="Arial" w:hAnsi="Arial" w:cs="Arial"/>
                <w:sz w:val="20"/>
                <w:szCs w:val="20"/>
              </w:rPr>
              <w:t>Пользователи, применяющие фискальный накопитель на 13 месяцев, при оказании услуг, а также применяющие УСН, ЕСХН, пользователи, являющиеся налогоплательщиками ЕНВД и ПСН, к административной ответст</w:t>
            </w:r>
            <w:r w:rsidR="004475DC">
              <w:rPr>
                <w:rStyle w:val="a9"/>
                <w:rFonts w:ascii="Arial" w:hAnsi="Arial" w:cs="Arial"/>
                <w:sz w:val="20"/>
                <w:szCs w:val="20"/>
              </w:rPr>
              <w:t>венности привлекаться не должны</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ФНС России сообщает, в частности, следующее.</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 xml:space="preserve">В соответствии с абзацем первым пункта 6 статьи 4.1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фискальный накопитель, срок действия ключа фискального признака которого составляет 36 месяцев, используется пользователями при оказании услуг, а также пользователями, применяющими упрощенную систему налогообложения (УСН), систему налогообложения для сельскохозяйственных товаропроизводителей </w:t>
            </w:r>
            <w:r w:rsidRPr="00DA57DF">
              <w:rPr>
                <w:rStyle w:val="a9"/>
                <w:rFonts w:ascii="Arial" w:hAnsi="Arial" w:cs="Arial"/>
                <w:b w:val="0"/>
                <w:sz w:val="20"/>
                <w:szCs w:val="20"/>
              </w:rPr>
              <w:lastRenderedPageBreak/>
              <w:t>(ЕСХН), пользователями, являющимися налогоплательщиками единого налога на вмененный доход (ЕНВД), пользователями, являющимися налогоплательщиками, применяющими патентную систему налогообложения (ПСН). При этом вышеуказанные положения не распространяются на организации и индивидуальных предпринимателей, осуществляющих торговлю подакцизными товарами, а также при сезонном (временном) характере работы или одновременном применении режимов налогообложения, указанных в пункте 6 статьи 4.1 Федерального закона от 22.05.2003 N 54-ФЗ,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w:t>
            </w:r>
            <w:r>
              <w:rPr>
                <w:rStyle w:val="a9"/>
                <w:rFonts w:ascii="Arial" w:hAnsi="Arial" w:cs="Arial"/>
                <w:b w:val="0"/>
                <w:sz w:val="20"/>
                <w:szCs w:val="20"/>
              </w:rPr>
              <w:t>нных.</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Поскольку нормы Федерального закона от 22.05.2003 N 54-ФЗ не предусматривают возможности применения фискального накопителя на 13 месяцев лицами, указанных в абзаце первом пункта 6 статьи 4.1 Федерального закона от 22.05.2003 N 54-ФЗ, при отсутствии перечисленных в данном пункте оснований, применение фискального накопителя на 13 месяцев такими налогоплательщиками является административным правонарушением, ответственность за которое предусмотрена частью 4 статьи 14.5 КоАП РФ.</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Однако следует учитывать, что законодательство РФ не раскрывает понятия сезонного (временного) характера работы, в связи с чем данный термин может быть определен налогоплательщиком самостоятельно.</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В соответствии с частями 1 и 4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4475DC" w:rsidRPr="00DA57DF" w:rsidRDefault="004475DC" w:rsidP="004475DC">
            <w:pPr>
              <w:pStyle w:val="a8"/>
              <w:jc w:val="both"/>
              <w:rPr>
                <w:rStyle w:val="a9"/>
                <w:rFonts w:ascii="Arial" w:hAnsi="Arial" w:cs="Arial"/>
                <w:b w:val="0"/>
                <w:sz w:val="20"/>
                <w:szCs w:val="20"/>
              </w:rPr>
            </w:pPr>
            <w:r>
              <w:rPr>
                <w:rStyle w:val="a9"/>
                <w:rFonts w:ascii="Arial" w:hAnsi="Arial" w:cs="Arial"/>
                <w:b w:val="0"/>
                <w:sz w:val="20"/>
                <w:szCs w:val="20"/>
              </w:rPr>
              <w:t xml:space="preserve">               </w:t>
            </w:r>
            <w:r w:rsidRPr="00DA57DF">
              <w:rPr>
                <w:rStyle w:val="a9"/>
                <w:rFonts w:ascii="Arial" w:hAnsi="Arial" w:cs="Arial"/>
                <w:b w:val="0"/>
                <w:sz w:val="20"/>
                <w:szCs w:val="20"/>
              </w:rPr>
              <w:t>Учитывая изложенное, пользователи, применяющие фискальный накопитель на 13 месяцев, при оказании услуг, а также применяющие УСН, ЕСХН, пользователи, являющиеся налогоплательщиками ЕНВД и ПСН, к административной ответственности не привлекаются.</w:t>
            </w:r>
          </w:p>
          <w:p w:rsidR="004475DC" w:rsidRPr="004475DC" w:rsidRDefault="004475DC" w:rsidP="004475DC">
            <w:pPr>
              <w:pStyle w:val="a8"/>
              <w:jc w:val="both"/>
              <w:rPr>
                <w:rFonts w:ascii="Arial" w:hAnsi="Arial" w:cs="Arial"/>
                <w:bCs/>
                <w:sz w:val="20"/>
                <w:szCs w:val="20"/>
                <w:highlight w:val="yellow"/>
              </w:rPr>
            </w:pPr>
            <w:r>
              <w:rPr>
                <w:rStyle w:val="a9"/>
                <w:rFonts w:ascii="Arial" w:hAnsi="Arial" w:cs="Arial"/>
                <w:b w:val="0"/>
                <w:sz w:val="20"/>
                <w:szCs w:val="20"/>
              </w:rPr>
              <w:t xml:space="preserve">               </w:t>
            </w:r>
            <w:r w:rsidRPr="00DA57DF">
              <w:rPr>
                <w:rStyle w:val="a9"/>
                <w:rFonts w:ascii="Arial" w:hAnsi="Arial" w:cs="Arial"/>
                <w:b w:val="0"/>
                <w:sz w:val="20"/>
                <w:szCs w:val="20"/>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624586" w:rsidRPr="00FF1145" w:rsidRDefault="00624586" w:rsidP="00840B5E">
            <w:pPr>
              <w:pStyle w:val="a8"/>
              <w:jc w:val="both"/>
              <w:rPr>
                <w:rFonts w:ascii="Arial" w:hAnsi="Arial" w:cs="Arial"/>
                <w:sz w:val="20"/>
                <w:szCs w:val="20"/>
              </w:rPr>
            </w:pPr>
          </w:p>
        </w:tc>
      </w:tr>
      <w:tr w:rsidR="00840B5E" w:rsidRPr="00432735" w:rsidTr="00FF1145">
        <w:tc>
          <w:tcPr>
            <w:tcW w:w="328" w:type="dxa"/>
          </w:tcPr>
          <w:p w:rsidR="00840B5E" w:rsidRPr="00FF1145" w:rsidRDefault="00840B5E"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6</w:t>
            </w:r>
          </w:p>
        </w:tc>
        <w:tc>
          <w:tcPr>
            <w:tcW w:w="2119" w:type="dxa"/>
          </w:tcPr>
          <w:p w:rsidR="00840B5E" w:rsidRPr="00FF1145" w:rsidRDefault="004475DC" w:rsidP="00432735">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Трудовые отношения и охрана труда</w:t>
            </w:r>
          </w:p>
        </w:tc>
        <w:tc>
          <w:tcPr>
            <w:tcW w:w="6898" w:type="dxa"/>
          </w:tcPr>
          <w:p w:rsidR="004475DC" w:rsidRPr="00EE54A4" w:rsidRDefault="004475DC" w:rsidP="004475DC">
            <w:pPr>
              <w:autoSpaceDE w:val="0"/>
              <w:autoSpaceDN w:val="0"/>
              <w:adjustRightInd w:val="0"/>
              <w:jc w:val="both"/>
              <w:rPr>
                <w:rFonts w:ascii="Arial" w:hAnsi="Arial" w:cs="Arial"/>
                <w:b/>
                <w:sz w:val="20"/>
                <w:szCs w:val="20"/>
              </w:rPr>
            </w:pPr>
            <w:r w:rsidRPr="00EE54A4">
              <w:rPr>
                <w:rFonts w:ascii="Arial" w:hAnsi="Arial" w:cs="Arial"/>
                <w:b/>
                <w:sz w:val="20"/>
                <w:szCs w:val="20"/>
              </w:rPr>
              <w:t xml:space="preserve">При работе на условиях неполного рабочего времени работнику может устанавливаться одновременно и неполный рабочий </w:t>
            </w:r>
            <w:r>
              <w:rPr>
                <w:rFonts w:ascii="Arial" w:hAnsi="Arial" w:cs="Arial"/>
                <w:b/>
                <w:sz w:val="20"/>
                <w:szCs w:val="20"/>
              </w:rPr>
              <w:t>день, и неполная рабочая неделя</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В рамках реализации мероприятий по инкорпорации правовых актов СССР и РСФСР (их отдельных положений) в законодательство Российской Федерации внесены уточнения в ряд статей Трудового кодекса РФ, касающиеся, в том числе, работы на условиях неполного рабочего времени и оплаты работы сверх нормы рабочего времени.</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 xml:space="preserve">Так, новая редакция статьи 93 ТК РФ предусматривает, помимо указанного выше, также, в частности, обязанность работодателя в определенных ТК РФ случаях установить для работника неполное рабочее время на удобный для него срок (но не более чем на период наличия соответствующих обстоятельств). При этом режим рабочего времени и времени отдыха устанавливается в соответствии с </w:t>
            </w:r>
            <w:r w:rsidRPr="00B17602">
              <w:rPr>
                <w:rFonts w:ascii="Arial" w:hAnsi="Arial" w:cs="Arial"/>
                <w:sz w:val="20"/>
                <w:szCs w:val="20"/>
              </w:rPr>
              <w:lastRenderedPageBreak/>
              <w:t>пожеланиями работника с учетом условий производства (работы) у данного работодателя.</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В случае работы на условиях неполного рабочего времени ненормированный рабочий день может устанавливаться работнику, только если соглашением сторон трудового договора установлена неполная рабочая неделя, но с полным рабочим днем (сменой).</w:t>
            </w:r>
          </w:p>
          <w:p w:rsidR="004475DC" w:rsidRPr="00B17602"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Также уточняется порядок оплаты труда в выходные и нерабочие праздничные дни. Внесено дополнение, согласно которому оплата в повышенном размере производится всем работникам за часы фактически отработанные в выходной или нерабочий праздничный день.</w:t>
            </w:r>
          </w:p>
          <w:p w:rsidR="004475DC" w:rsidRPr="004A3513" w:rsidRDefault="004475DC" w:rsidP="004475DC">
            <w:pPr>
              <w:autoSpaceDE w:val="0"/>
              <w:autoSpaceDN w:val="0"/>
              <w:adjustRightInd w:val="0"/>
              <w:jc w:val="both"/>
              <w:rPr>
                <w:rFonts w:ascii="Arial" w:hAnsi="Arial" w:cs="Arial"/>
                <w:sz w:val="20"/>
                <w:szCs w:val="20"/>
              </w:rPr>
            </w:pPr>
            <w:r>
              <w:rPr>
                <w:rFonts w:ascii="Arial" w:hAnsi="Arial" w:cs="Arial"/>
                <w:sz w:val="20"/>
                <w:szCs w:val="20"/>
              </w:rPr>
              <w:t xml:space="preserve">               </w:t>
            </w:r>
            <w:r w:rsidRPr="00B17602">
              <w:rPr>
                <w:rFonts w:ascii="Arial" w:hAnsi="Arial" w:cs="Arial"/>
                <w:sz w:val="20"/>
                <w:szCs w:val="20"/>
              </w:rPr>
              <w:t>В случае если на такой день приходится часть рабочей смены, то в повышенном размере оплачиваются часы, фактически отработанные в выходной или нерабочий праздничный день (от 0 часов до 24 часов).</w:t>
            </w:r>
          </w:p>
          <w:p w:rsidR="00840B5E" w:rsidRPr="00FF1145" w:rsidRDefault="00840B5E" w:rsidP="004475DC">
            <w:pPr>
              <w:autoSpaceDE w:val="0"/>
              <w:autoSpaceDN w:val="0"/>
              <w:adjustRightInd w:val="0"/>
              <w:jc w:val="both"/>
              <w:rPr>
                <w:rStyle w:val="a9"/>
                <w:rFonts w:ascii="Arial" w:hAnsi="Arial" w:cs="Arial"/>
                <w:sz w:val="20"/>
                <w:szCs w:val="20"/>
              </w:rPr>
            </w:pPr>
          </w:p>
        </w:tc>
      </w:tr>
      <w:tr w:rsidR="004475DC" w:rsidRPr="00432735" w:rsidTr="00FF1145">
        <w:tc>
          <w:tcPr>
            <w:tcW w:w="328" w:type="dxa"/>
          </w:tcPr>
          <w:p w:rsidR="004475DC" w:rsidRDefault="004475DC"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7</w:t>
            </w:r>
          </w:p>
        </w:tc>
        <w:tc>
          <w:tcPr>
            <w:tcW w:w="2119" w:type="dxa"/>
          </w:tcPr>
          <w:p w:rsidR="004475DC" w:rsidRDefault="004475DC" w:rsidP="00432735">
            <w:pPr>
              <w:jc w:val="both"/>
              <w:rPr>
                <w:rFonts w:ascii="Arial" w:eastAsia="Times New Roman" w:hAnsi="Arial" w:cs="Arial"/>
                <w:b/>
                <w:bCs/>
                <w:sz w:val="20"/>
                <w:szCs w:val="20"/>
                <w:lang w:eastAsia="ru-RU"/>
              </w:rPr>
            </w:pPr>
            <w:r w:rsidRPr="00CA1749">
              <w:rPr>
                <w:rFonts w:ascii="Arial" w:hAnsi="Arial" w:cs="Arial"/>
                <w:b/>
                <w:sz w:val="20"/>
                <w:szCs w:val="20"/>
              </w:rPr>
              <w:t>Требования к оформлению документов:</w:t>
            </w:r>
          </w:p>
        </w:tc>
        <w:tc>
          <w:tcPr>
            <w:tcW w:w="6898" w:type="dxa"/>
          </w:tcPr>
          <w:p w:rsidR="004475DC" w:rsidRPr="00941275" w:rsidRDefault="004475DC" w:rsidP="004475DC">
            <w:pPr>
              <w:pStyle w:val="a8"/>
              <w:jc w:val="both"/>
              <w:rPr>
                <w:rFonts w:ascii="Arial" w:hAnsi="Arial" w:cs="Arial"/>
                <w:b/>
                <w:sz w:val="20"/>
                <w:szCs w:val="20"/>
              </w:rPr>
            </w:pPr>
            <w:r w:rsidRPr="00941275">
              <w:rPr>
                <w:rFonts w:ascii="Arial" w:hAnsi="Arial" w:cs="Arial"/>
                <w:b/>
                <w:sz w:val="20"/>
                <w:szCs w:val="20"/>
              </w:rPr>
              <w:t xml:space="preserve">                 В формы документов, применяемых при расчетах по налогу на добавленную стоимость, включена новая строка - "Идентификатор государственного контракта, договора (соглашения)"</w:t>
            </w:r>
          </w:p>
          <w:p w:rsidR="004475DC" w:rsidRPr="00941275" w:rsidRDefault="004475DC" w:rsidP="004475DC">
            <w:pPr>
              <w:pStyle w:val="a8"/>
              <w:jc w:val="both"/>
              <w:rPr>
                <w:rFonts w:ascii="Arial" w:hAnsi="Arial" w:cs="Arial"/>
                <w:sz w:val="20"/>
                <w:szCs w:val="20"/>
              </w:rPr>
            </w:pPr>
            <w:r w:rsidRPr="00941275">
              <w:rPr>
                <w:rFonts w:ascii="Arial" w:hAnsi="Arial" w:cs="Arial"/>
                <w:sz w:val="20"/>
                <w:szCs w:val="20"/>
              </w:rPr>
              <w:t xml:space="preserve">                Указанные изменения внесены в форму счета-фактуры, применяемого при расчетах по налогу на добавленную стоимость, и в форму корректировочного счета-фактуры, применяемого при расчетах по налогу на добавленную стоимость, а также в правила их заполнения.</w:t>
            </w:r>
          </w:p>
          <w:p w:rsidR="004475DC" w:rsidRDefault="004475DC" w:rsidP="004475DC">
            <w:pPr>
              <w:autoSpaceDE w:val="0"/>
              <w:autoSpaceDN w:val="0"/>
              <w:adjustRightInd w:val="0"/>
              <w:jc w:val="both"/>
              <w:rPr>
                <w:rFonts w:ascii="Arial" w:hAnsi="Arial" w:cs="Arial"/>
                <w:b/>
                <w:sz w:val="20"/>
                <w:szCs w:val="20"/>
              </w:rPr>
            </w:pPr>
            <w:r w:rsidRPr="00941275">
              <w:rPr>
                <w:rFonts w:ascii="Arial" w:hAnsi="Arial" w:cs="Arial"/>
                <w:sz w:val="20"/>
                <w:szCs w:val="20"/>
              </w:rPr>
              <w:t xml:space="preserve">                 Настоящее постановление вступает в силу по истечении месяца со дня его официального опубликования и не ранее 1-го числа очередного налогового периода по налогу на добавленную стоимость.</w:t>
            </w:r>
          </w:p>
          <w:p w:rsidR="004475DC" w:rsidRPr="004475DC" w:rsidRDefault="004475DC" w:rsidP="004475DC">
            <w:pPr>
              <w:tabs>
                <w:tab w:val="left" w:pos="1140"/>
              </w:tabs>
              <w:rPr>
                <w:rFonts w:ascii="Arial" w:hAnsi="Arial" w:cs="Arial"/>
                <w:sz w:val="20"/>
                <w:szCs w:val="20"/>
              </w:rPr>
            </w:pPr>
            <w:r>
              <w:rPr>
                <w:rFonts w:ascii="Arial" w:hAnsi="Arial" w:cs="Arial"/>
                <w:sz w:val="20"/>
                <w:szCs w:val="20"/>
              </w:rPr>
              <w:tab/>
            </w:r>
          </w:p>
        </w:tc>
      </w:tr>
      <w:tr w:rsidR="004475DC" w:rsidRPr="00432735" w:rsidTr="00FF1145">
        <w:tc>
          <w:tcPr>
            <w:tcW w:w="328" w:type="dxa"/>
          </w:tcPr>
          <w:p w:rsidR="004475DC" w:rsidRDefault="004475DC"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8</w:t>
            </w:r>
          </w:p>
        </w:tc>
        <w:tc>
          <w:tcPr>
            <w:tcW w:w="2119" w:type="dxa"/>
          </w:tcPr>
          <w:p w:rsidR="004475DC" w:rsidRPr="00CA1749" w:rsidRDefault="004475DC" w:rsidP="00432735">
            <w:pPr>
              <w:jc w:val="both"/>
              <w:rPr>
                <w:rFonts w:ascii="Arial" w:hAnsi="Arial" w:cs="Arial"/>
                <w:b/>
                <w:sz w:val="20"/>
                <w:szCs w:val="20"/>
              </w:rPr>
            </w:pPr>
            <w:r>
              <w:rPr>
                <w:rFonts w:ascii="Arial" w:hAnsi="Arial" w:cs="Arial"/>
                <w:b/>
                <w:sz w:val="20"/>
                <w:szCs w:val="20"/>
              </w:rPr>
              <w:t>Проверка контрагентов</w:t>
            </w:r>
          </w:p>
        </w:tc>
        <w:tc>
          <w:tcPr>
            <w:tcW w:w="6898" w:type="dxa"/>
          </w:tcPr>
          <w:p w:rsidR="004475DC" w:rsidRPr="00CA1749" w:rsidRDefault="004475DC" w:rsidP="004475DC">
            <w:pPr>
              <w:pStyle w:val="a8"/>
              <w:jc w:val="both"/>
              <w:rPr>
                <w:rFonts w:ascii="Arial" w:hAnsi="Arial" w:cs="Arial"/>
                <w:sz w:val="20"/>
                <w:szCs w:val="20"/>
              </w:rPr>
            </w:pPr>
            <w:r w:rsidRPr="00995D9C">
              <w:rPr>
                <w:rFonts w:ascii="Arial" w:hAnsi="Arial" w:cs="Arial"/>
                <w:b/>
                <w:sz w:val="20"/>
                <w:szCs w:val="20"/>
              </w:rPr>
              <w:t>ФНС России напоминает налогоплательщикам о необходимости проявления должной осмотрительности при осуществлении своей деятельности и выборе контрагента</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При этом следует исходить из того, что понятие должной осмотрительности законодательно не урегулировано, поэтому и перечень необходимых действий и документ</w:t>
            </w:r>
            <w:r>
              <w:rPr>
                <w:rFonts w:ascii="Arial" w:hAnsi="Arial" w:cs="Arial"/>
                <w:sz w:val="20"/>
                <w:szCs w:val="20"/>
              </w:rPr>
              <w:t>ов не может быть исчерпывающим.</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В этой связи налогоплательщики для целей самостоятельной оценки рисков могут учитывать утвержденные Приказом ФНС России от 20.05.2007 N ММ-3-06/333@ общедоступные критерии, используемые налоговыми органами в процессе отбора объектов для проведения выездных налоговых проверок.</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Например, при оценке налоговых рисков, которые могут быть связаны с характером взаимоотношений с некоторыми контрагентами, ФНС России рекомендует исследовать следующие признаки:</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отсутствие информации о государственной регистрации контрагента в ЕГРЮЛ (можно узнать на официальном сайте ФНС России);</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контрагент зарегистрирован по адресу "массовой" регистрации;</w:t>
            </w:r>
          </w:p>
          <w:p w:rsidR="004475DC" w:rsidRPr="00941275"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отсутствие информации о фактическом местонахождении контрагента, а также о местонахождении его складских и (или) производстве</w:t>
            </w:r>
            <w:r>
              <w:rPr>
                <w:rFonts w:ascii="Arial" w:hAnsi="Arial" w:cs="Arial"/>
                <w:sz w:val="20"/>
                <w:szCs w:val="20"/>
              </w:rPr>
              <w:t>нных и торговых площадей и т.д.</w:t>
            </w:r>
          </w:p>
          <w:p w:rsidR="004475DC" w:rsidRPr="00995D9C"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 xml:space="preserve">Также отмечается, что Федеральным законом от 01.05.2016 N 134-ФЗ "О внесении изменений в статью 102 части первой Налогового </w:t>
            </w:r>
            <w:r w:rsidRPr="00995D9C">
              <w:rPr>
                <w:rFonts w:ascii="Arial" w:hAnsi="Arial" w:cs="Arial"/>
                <w:sz w:val="20"/>
                <w:szCs w:val="20"/>
              </w:rPr>
              <w:lastRenderedPageBreak/>
              <w:t>кодекса Российской Федерации" был снят режим налоговой тайны с части сведений, имеющихся в распоряжении налоговых органов. Так, со дня вступления в силу указанного закона с 01.06.2016 не являются налоговой тайной следующие сведения: о среднесписочной численности работников; об уплаченных организацией суммах налогов и сборов; о нарушениях законодательства о налогах и сборах, в том числе о суммах недоимки и задолженности по пеням, штрафам при их наличии; о суммах доходов и расходов по данным бухгалтерской (финансовой) отчетности.</w:t>
            </w:r>
          </w:p>
          <w:p w:rsidR="004475DC" w:rsidRPr="00CA1749" w:rsidRDefault="004475DC" w:rsidP="004475DC">
            <w:pPr>
              <w:pStyle w:val="a8"/>
              <w:jc w:val="both"/>
              <w:rPr>
                <w:rFonts w:ascii="Arial" w:hAnsi="Arial" w:cs="Arial"/>
                <w:sz w:val="20"/>
                <w:szCs w:val="20"/>
              </w:rPr>
            </w:pPr>
            <w:r>
              <w:rPr>
                <w:rFonts w:ascii="Arial" w:hAnsi="Arial" w:cs="Arial"/>
                <w:sz w:val="20"/>
                <w:szCs w:val="20"/>
              </w:rPr>
              <w:t xml:space="preserve">               </w:t>
            </w:r>
            <w:r w:rsidRPr="00995D9C">
              <w:rPr>
                <w:rFonts w:ascii="Arial" w:hAnsi="Arial" w:cs="Arial"/>
                <w:sz w:val="20"/>
                <w:szCs w:val="20"/>
              </w:rPr>
              <w:t>Сообщается, что указанные сведения будут размещены до 01.07.2017 в форме открытых данных на официальном сайте ФНС России, что предоставит налогоплательщикам дополнительную возможность оценить риски при выборе контрагента.</w:t>
            </w:r>
          </w:p>
          <w:p w:rsidR="004475DC" w:rsidRPr="00CA1749" w:rsidRDefault="004475DC" w:rsidP="004475DC">
            <w:pPr>
              <w:pStyle w:val="a8"/>
              <w:jc w:val="both"/>
              <w:rPr>
                <w:rFonts w:ascii="Arial" w:hAnsi="Arial" w:cs="Arial"/>
                <w:b/>
                <w:sz w:val="20"/>
                <w:szCs w:val="20"/>
              </w:rPr>
            </w:pPr>
            <w:r>
              <w:rPr>
                <w:rFonts w:ascii="Arial" w:hAnsi="Arial" w:cs="Arial"/>
                <w:b/>
                <w:sz w:val="20"/>
                <w:szCs w:val="20"/>
              </w:rPr>
              <w:t xml:space="preserve">              </w:t>
            </w:r>
            <w:r w:rsidRPr="00CA1749">
              <w:rPr>
                <w:rFonts w:ascii="Arial" w:hAnsi="Arial" w:cs="Arial"/>
                <w:b/>
                <w:sz w:val="20"/>
                <w:szCs w:val="20"/>
              </w:rPr>
              <w:t>Все, кроме томатов: снят запрет на поставки из Турецкой Республики сельскохозяйственной пр</w:t>
            </w:r>
            <w:r>
              <w:rPr>
                <w:rFonts w:ascii="Arial" w:hAnsi="Arial" w:cs="Arial"/>
                <w:b/>
                <w:sz w:val="20"/>
                <w:szCs w:val="20"/>
              </w:rPr>
              <w:t>одукции, сырья и продовольствия</w:t>
            </w:r>
          </w:p>
          <w:p w:rsidR="004475DC" w:rsidRPr="00CA1749" w:rsidRDefault="004475DC" w:rsidP="004475DC">
            <w:pPr>
              <w:pStyle w:val="a8"/>
              <w:jc w:val="both"/>
              <w:rPr>
                <w:rFonts w:ascii="Arial" w:hAnsi="Arial" w:cs="Arial"/>
                <w:sz w:val="20"/>
                <w:szCs w:val="20"/>
              </w:rPr>
            </w:pPr>
            <w:r>
              <w:rPr>
                <w:rFonts w:ascii="Arial" w:hAnsi="Arial" w:cs="Arial"/>
                <w:sz w:val="20"/>
                <w:szCs w:val="20"/>
              </w:rPr>
              <w:t xml:space="preserve">               </w:t>
            </w:r>
            <w:r w:rsidRPr="00CA1749">
              <w:rPr>
                <w:rFonts w:ascii="Arial" w:hAnsi="Arial" w:cs="Arial"/>
                <w:sz w:val="20"/>
                <w:szCs w:val="20"/>
              </w:rPr>
              <w:t>Постановлением Правительства РФ от 30 ноября 2015 года N 1296 был утвержден перечень сельскохозяйственной продукции, сырья и продовольствия, страной происхождения которых является Турецкая Республика и которые запрещены с 1 января 2016 года к ввозу в Россию.</w:t>
            </w:r>
          </w:p>
          <w:p w:rsidR="004475DC" w:rsidRPr="00CA1749" w:rsidRDefault="004475DC" w:rsidP="004475DC">
            <w:pPr>
              <w:pStyle w:val="a8"/>
              <w:jc w:val="both"/>
              <w:rPr>
                <w:rFonts w:ascii="Arial" w:hAnsi="Arial" w:cs="Arial"/>
                <w:sz w:val="20"/>
                <w:szCs w:val="20"/>
              </w:rPr>
            </w:pPr>
            <w:r>
              <w:rPr>
                <w:rFonts w:ascii="Arial" w:hAnsi="Arial" w:cs="Arial"/>
                <w:sz w:val="20"/>
                <w:szCs w:val="20"/>
              </w:rPr>
              <w:t xml:space="preserve">               </w:t>
            </w:r>
            <w:r w:rsidRPr="00CA1749">
              <w:rPr>
                <w:rFonts w:ascii="Arial" w:hAnsi="Arial" w:cs="Arial"/>
                <w:sz w:val="20"/>
                <w:szCs w:val="20"/>
              </w:rPr>
              <w:t>Настоящим постановлением из указанного перечня исключены замороженные части тушек и субпродукты кур домашних и индеек, свежие или охлажденные огурцы и корнишоны, свежие яблоки, груши, виноград, земляника и клубника.</w:t>
            </w:r>
          </w:p>
          <w:p w:rsidR="004475DC" w:rsidRPr="00941275" w:rsidRDefault="004475DC" w:rsidP="004475DC">
            <w:pPr>
              <w:pStyle w:val="a8"/>
              <w:jc w:val="both"/>
              <w:rPr>
                <w:rFonts w:ascii="Arial" w:hAnsi="Arial" w:cs="Arial"/>
                <w:b/>
                <w:sz w:val="20"/>
                <w:szCs w:val="20"/>
              </w:rPr>
            </w:pPr>
            <w:r>
              <w:rPr>
                <w:rFonts w:ascii="Arial" w:hAnsi="Arial" w:cs="Arial"/>
                <w:sz w:val="20"/>
                <w:szCs w:val="20"/>
              </w:rPr>
              <w:t xml:space="preserve">                </w:t>
            </w:r>
            <w:r w:rsidRPr="00CA1749">
              <w:rPr>
                <w:rFonts w:ascii="Arial" w:hAnsi="Arial" w:cs="Arial"/>
                <w:sz w:val="20"/>
                <w:szCs w:val="20"/>
              </w:rPr>
              <w:t>Кроме того, отменен запрет на выполнение определенных видов работ (оказание услуг), включающих строительство зданий, инженерных сооружений, строительные специализированные работы; деятельность в области архитектуры и инженерно-технического проектирования; технические испытания, исследования и анализ; деятельность туристических агентств и прочих организаций, предоставляющих услуги в сфере туризма; деятельность гостиниц и прочих мест для временного проживания; выполнение работ, оказание услуг для обеспечения государственных и муниципальных нужд; обработку древесины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ее юрисдикцией.</w:t>
            </w:r>
          </w:p>
        </w:tc>
      </w:tr>
      <w:tr w:rsidR="00821EBD" w:rsidRPr="00432735" w:rsidTr="00FF1145">
        <w:tc>
          <w:tcPr>
            <w:tcW w:w="328" w:type="dxa"/>
          </w:tcPr>
          <w:p w:rsidR="00821EBD" w:rsidRDefault="00821EBD" w:rsidP="00624586">
            <w:pPr>
              <w:jc w:val="both"/>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9</w:t>
            </w:r>
          </w:p>
        </w:tc>
        <w:tc>
          <w:tcPr>
            <w:tcW w:w="2119" w:type="dxa"/>
          </w:tcPr>
          <w:p w:rsidR="00821EBD" w:rsidRDefault="00821EBD" w:rsidP="00432735">
            <w:pPr>
              <w:jc w:val="both"/>
              <w:rPr>
                <w:rFonts w:ascii="Arial" w:hAnsi="Arial" w:cs="Arial"/>
                <w:b/>
                <w:sz w:val="20"/>
                <w:szCs w:val="20"/>
              </w:rPr>
            </w:pPr>
            <w:r>
              <w:rPr>
                <w:rFonts w:ascii="Arial" w:hAnsi="Arial" w:cs="Arial"/>
                <w:b/>
                <w:sz w:val="20"/>
                <w:szCs w:val="20"/>
              </w:rPr>
              <w:t>Оборот алкогольной продукции</w:t>
            </w:r>
          </w:p>
        </w:tc>
        <w:tc>
          <w:tcPr>
            <w:tcW w:w="6898" w:type="dxa"/>
          </w:tcPr>
          <w:p w:rsidR="00821EBD" w:rsidRPr="00DF31FB" w:rsidRDefault="00821EBD" w:rsidP="00821EBD">
            <w:pPr>
              <w:autoSpaceDE w:val="0"/>
              <w:autoSpaceDN w:val="0"/>
              <w:adjustRightInd w:val="0"/>
              <w:jc w:val="both"/>
              <w:rPr>
                <w:rFonts w:ascii="Arial" w:hAnsi="Arial" w:cs="Arial"/>
                <w:b/>
                <w:sz w:val="20"/>
                <w:szCs w:val="20"/>
              </w:rPr>
            </w:pPr>
            <w:r>
              <w:rPr>
                <w:rFonts w:ascii="Arial" w:hAnsi="Arial" w:cs="Arial"/>
                <w:b/>
                <w:sz w:val="20"/>
                <w:szCs w:val="20"/>
              </w:rPr>
              <w:t xml:space="preserve">        </w:t>
            </w:r>
            <w:r w:rsidRPr="00DF31FB">
              <w:rPr>
                <w:rFonts w:ascii="Arial" w:hAnsi="Arial" w:cs="Arial"/>
                <w:b/>
                <w:sz w:val="20"/>
                <w:szCs w:val="20"/>
              </w:rPr>
              <w:t>С 1 июля нельзя продавать в розницу алкоголь в пластиковой таре объемом более 1,5 л</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Запрет будет действовать в отношении потребительской тары либо упаковки, полностью изготовленной:</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из полиэтилена;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полистирола;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полиэтилентерефталата;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 иного полимерного материала.</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Продавать в розницу алкоголь в пластиковой таре объемом более 1,5 л нельзя будет и при оказании услуг общепита.</w:t>
            </w:r>
          </w:p>
          <w:p w:rsidR="00821EBD"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За нарушение запрета компаниям с 1 июля грозит штраф от 300 тыс. до 500 тыс. руб. Одновременно товар могут конфисковать.</w:t>
            </w:r>
          </w:p>
          <w:p w:rsidR="00821EBD" w:rsidRDefault="00821EBD" w:rsidP="00821EBD">
            <w:pPr>
              <w:autoSpaceDE w:val="0"/>
              <w:autoSpaceDN w:val="0"/>
              <w:adjustRightInd w:val="0"/>
              <w:jc w:val="both"/>
              <w:rPr>
                <w:rFonts w:ascii="Arial" w:hAnsi="Arial" w:cs="Arial"/>
                <w:sz w:val="20"/>
                <w:szCs w:val="20"/>
              </w:rPr>
            </w:pPr>
          </w:p>
          <w:p w:rsidR="00821EBD" w:rsidRDefault="00821EBD" w:rsidP="00821EBD">
            <w:pPr>
              <w:autoSpaceDE w:val="0"/>
              <w:autoSpaceDN w:val="0"/>
              <w:adjustRightInd w:val="0"/>
              <w:jc w:val="both"/>
              <w:rPr>
                <w:rFonts w:ascii="Arial" w:hAnsi="Arial" w:cs="Arial"/>
                <w:b/>
                <w:sz w:val="20"/>
                <w:szCs w:val="20"/>
              </w:rPr>
            </w:pPr>
            <w:r w:rsidRPr="00DF31FB">
              <w:rPr>
                <w:rFonts w:ascii="Arial" w:hAnsi="Arial" w:cs="Arial"/>
                <w:b/>
                <w:sz w:val="20"/>
                <w:szCs w:val="20"/>
              </w:rPr>
              <w:t xml:space="preserve">           Возраст покупателя алкоголя продавец сможет проверить по водительским правам</w:t>
            </w:r>
            <w:r>
              <w:rPr>
                <w:rFonts w:ascii="Arial" w:hAnsi="Arial" w:cs="Arial"/>
                <w:b/>
                <w:sz w:val="20"/>
                <w:szCs w:val="20"/>
              </w:rPr>
              <w:t xml:space="preserve"> </w:t>
            </w:r>
          </w:p>
          <w:p w:rsidR="00821EBD" w:rsidRPr="00DF31FB" w:rsidRDefault="00821EBD" w:rsidP="00821EBD">
            <w:pPr>
              <w:autoSpaceDE w:val="0"/>
              <w:autoSpaceDN w:val="0"/>
              <w:adjustRightInd w:val="0"/>
              <w:jc w:val="both"/>
              <w:rPr>
                <w:rFonts w:ascii="Arial" w:hAnsi="Arial" w:cs="Arial"/>
                <w:b/>
                <w:sz w:val="20"/>
                <w:szCs w:val="20"/>
              </w:rPr>
            </w:pP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С 4 июля изменится список документов, которые можно потребовать, если продавец сомневается в том, что покупатель алкоголя достиг совершеннолетия.</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lastRenderedPageBreak/>
              <w:t xml:space="preserve">             </w:t>
            </w:r>
            <w:r w:rsidRPr="00DF31FB">
              <w:rPr>
                <w:rFonts w:ascii="Arial" w:hAnsi="Arial" w:cs="Arial"/>
                <w:sz w:val="20"/>
                <w:szCs w:val="20"/>
              </w:rPr>
              <w:t>Помимо водительского удостоверения перечень пополнится персонифицированной картой зрителя. Она пригодится для посещения чемпионата мира по футболу 2018 г. и Кубка конфедераций 2017 г. Подтвердить возраст этой картой можно будет до 31 декабря 2018 г.</w:t>
            </w:r>
          </w:p>
          <w:p w:rsidR="00821EBD" w:rsidRPr="00DF31FB" w:rsidRDefault="00821EBD" w:rsidP="00821EBD">
            <w:pPr>
              <w:autoSpaceDE w:val="0"/>
              <w:autoSpaceDN w:val="0"/>
              <w:adjustRightInd w:val="0"/>
              <w:jc w:val="both"/>
              <w:rPr>
                <w:rFonts w:ascii="Arial" w:hAnsi="Arial" w:cs="Arial"/>
                <w:sz w:val="20"/>
                <w:szCs w:val="20"/>
              </w:rPr>
            </w:pPr>
            <w:r>
              <w:rPr>
                <w:rFonts w:ascii="Arial" w:hAnsi="Arial" w:cs="Arial"/>
                <w:sz w:val="20"/>
                <w:szCs w:val="20"/>
              </w:rPr>
              <w:t xml:space="preserve">             </w:t>
            </w:r>
            <w:r w:rsidRPr="00DF31FB">
              <w:rPr>
                <w:rFonts w:ascii="Arial" w:hAnsi="Arial" w:cs="Arial"/>
                <w:sz w:val="20"/>
                <w:szCs w:val="20"/>
              </w:rPr>
              <w:t>Напомним, с 31 марта можно требовать от покупателя только документ, позволяющий установить возраст. В действующем перечне - документы, которые должны удостоверять еще и личность. Водительское удостоверение к ним не отн</w:t>
            </w:r>
            <w:bookmarkStart w:id="0" w:name="_GoBack"/>
            <w:bookmarkEnd w:id="0"/>
            <w:r w:rsidRPr="00DF31FB">
              <w:rPr>
                <w:rFonts w:ascii="Arial" w:hAnsi="Arial" w:cs="Arial"/>
                <w:sz w:val="20"/>
                <w:szCs w:val="20"/>
              </w:rPr>
              <w:t>осится.</w:t>
            </w:r>
          </w:p>
          <w:p w:rsidR="00821EBD" w:rsidRPr="001027BD" w:rsidRDefault="00821EBD" w:rsidP="00821EBD">
            <w:pPr>
              <w:autoSpaceDE w:val="0"/>
              <w:autoSpaceDN w:val="0"/>
              <w:adjustRightInd w:val="0"/>
              <w:jc w:val="both"/>
              <w:rPr>
                <w:rFonts w:ascii="Arial" w:hAnsi="Arial" w:cs="Arial"/>
                <w:sz w:val="20"/>
                <w:szCs w:val="20"/>
                <w:highlight w:val="yellow"/>
              </w:rPr>
            </w:pPr>
            <w:r>
              <w:rPr>
                <w:rFonts w:ascii="Arial" w:hAnsi="Arial" w:cs="Arial"/>
                <w:sz w:val="20"/>
                <w:szCs w:val="20"/>
              </w:rPr>
              <w:t xml:space="preserve">               </w:t>
            </w:r>
            <w:r w:rsidRPr="00DF31FB">
              <w:rPr>
                <w:rFonts w:ascii="Arial" w:hAnsi="Arial" w:cs="Arial"/>
                <w:sz w:val="20"/>
                <w:szCs w:val="20"/>
              </w:rPr>
              <w:t>За розничную продажу несовершеннолетнему алкоголя продавцу-организации грозит штраф от 300 тыс. до 500 тыс. руб.</w:t>
            </w:r>
          </w:p>
          <w:p w:rsidR="00821EBD" w:rsidRPr="00995D9C" w:rsidRDefault="00821EBD" w:rsidP="004475DC">
            <w:pPr>
              <w:pStyle w:val="a8"/>
              <w:jc w:val="both"/>
              <w:rPr>
                <w:rFonts w:ascii="Arial" w:hAnsi="Arial" w:cs="Arial"/>
                <w:b/>
                <w:sz w:val="20"/>
                <w:szCs w:val="20"/>
              </w:rPr>
            </w:pPr>
          </w:p>
        </w:tc>
      </w:tr>
    </w:tbl>
    <w:p w:rsidR="00D74309" w:rsidRPr="00432735" w:rsidRDefault="00D74309" w:rsidP="00530073">
      <w:pPr>
        <w:spacing w:after="0" w:line="312" w:lineRule="auto"/>
        <w:ind w:firstLine="547"/>
        <w:jc w:val="both"/>
        <w:rPr>
          <w:rFonts w:ascii="Arial" w:hAnsi="Arial" w:cs="Arial"/>
          <w:sz w:val="20"/>
          <w:szCs w:val="20"/>
        </w:rPr>
      </w:pPr>
    </w:p>
    <w:sectPr w:rsidR="00D74309" w:rsidRPr="0043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37E50"/>
    <w:multiLevelType w:val="multilevel"/>
    <w:tmpl w:val="330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84418"/>
    <w:multiLevelType w:val="hybridMultilevel"/>
    <w:tmpl w:val="B052A9CC"/>
    <w:lvl w:ilvl="0" w:tplc="AD8ED15E">
      <w:start w:val="3"/>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042652A"/>
    <w:multiLevelType w:val="hybridMultilevel"/>
    <w:tmpl w:val="3A1A5094"/>
    <w:lvl w:ilvl="0" w:tplc="ABD000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78"/>
    <w:rsid w:val="00081D0C"/>
    <w:rsid w:val="000B3635"/>
    <w:rsid w:val="00147C8C"/>
    <w:rsid w:val="00153A22"/>
    <w:rsid w:val="001C6824"/>
    <w:rsid w:val="00204985"/>
    <w:rsid w:val="00245747"/>
    <w:rsid w:val="00432735"/>
    <w:rsid w:val="004475DC"/>
    <w:rsid w:val="0044775F"/>
    <w:rsid w:val="00494254"/>
    <w:rsid w:val="0051148C"/>
    <w:rsid w:val="00530073"/>
    <w:rsid w:val="005A0405"/>
    <w:rsid w:val="005E48C0"/>
    <w:rsid w:val="00614178"/>
    <w:rsid w:val="00622CBD"/>
    <w:rsid w:val="00624586"/>
    <w:rsid w:val="006F52FF"/>
    <w:rsid w:val="006F66DB"/>
    <w:rsid w:val="007E61BD"/>
    <w:rsid w:val="00821EBD"/>
    <w:rsid w:val="00840B5E"/>
    <w:rsid w:val="00884206"/>
    <w:rsid w:val="00887F80"/>
    <w:rsid w:val="008D2D6B"/>
    <w:rsid w:val="009C7E91"/>
    <w:rsid w:val="00A67D8E"/>
    <w:rsid w:val="00AC1B6A"/>
    <w:rsid w:val="00D0193C"/>
    <w:rsid w:val="00D74309"/>
    <w:rsid w:val="00D81820"/>
    <w:rsid w:val="00DB7337"/>
    <w:rsid w:val="00DC07C2"/>
    <w:rsid w:val="00E34071"/>
    <w:rsid w:val="00F46A90"/>
    <w:rsid w:val="00F471C9"/>
    <w:rsid w:val="00F6172F"/>
    <w:rsid w:val="00FF1145"/>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00EA9-CCC7-4B28-8690-DB1CB203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4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06"/>
    <w:pPr>
      <w:ind w:left="720"/>
      <w:contextualSpacing/>
    </w:pPr>
  </w:style>
  <w:style w:type="character" w:customStyle="1" w:styleId="blk">
    <w:name w:val="blk"/>
    <w:basedOn w:val="a0"/>
    <w:rsid w:val="00D74309"/>
  </w:style>
  <w:style w:type="character" w:customStyle="1" w:styleId="b">
    <w:name w:val="b"/>
    <w:basedOn w:val="a0"/>
    <w:rsid w:val="00D74309"/>
  </w:style>
  <w:style w:type="character" w:customStyle="1" w:styleId="apple-converted-space">
    <w:name w:val="apple-converted-space"/>
    <w:basedOn w:val="a0"/>
    <w:rsid w:val="00D74309"/>
  </w:style>
  <w:style w:type="character" w:styleId="a4">
    <w:name w:val="Hyperlink"/>
    <w:basedOn w:val="a0"/>
    <w:uiPriority w:val="99"/>
    <w:semiHidden/>
    <w:unhideWhenUsed/>
    <w:rsid w:val="00D74309"/>
    <w:rPr>
      <w:color w:val="0000FF"/>
      <w:u w:val="single"/>
    </w:rPr>
  </w:style>
  <w:style w:type="table" w:styleId="a5">
    <w:name w:val="Table Grid"/>
    <w:basedOn w:val="a1"/>
    <w:uiPriority w:val="39"/>
    <w:rsid w:val="00F4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11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148C"/>
    <w:rPr>
      <w:rFonts w:ascii="Segoe UI" w:hAnsi="Segoe UI" w:cs="Segoe UI"/>
      <w:sz w:val="18"/>
      <w:szCs w:val="18"/>
    </w:rPr>
  </w:style>
  <w:style w:type="paragraph" w:styleId="a8">
    <w:name w:val="Normal (Web)"/>
    <w:basedOn w:val="a"/>
    <w:uiPriority w:val="99"/>
    <w:unhideWhenUsed/>
    <w:rsid w:val="007E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48C0"/>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432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3120">
      <w:bodyDiv w:val="1"/>
      <w:marLeft w:val="0"/>
      <w:marRight w:val="0"/>
      <w:marTop w:val="0"/>
      <w:marBottom w:val="0"/>
      <w:divBdr>
        <w:top w:val="none" w:sz="0" w:space="0" w:color="auto"/>
        <w:left w:val="none" w:sz="0" w:space="0" w:color="auto"/>
        <w:bottom w:val="none" w:sz="0" w:space="0" w:color="auto"/>
        <w:right w:val="none" w:sz="0" w:space="0" w:color="auto"/>
      </w:divBdr>
      <w:divsChild>
        <w:div w:id="323776254">
          <w:marLeft w:val="0"/>
          <w:marRight w:val="0"/>
          <w:marTop w:val="120"/>
          <w:marBottom w:val="0"/>
          <w:divBdr>
            <w:top w:val="none" w:sz="0" w:space="0" w:color="auto"/>
            <w:left w:val="none" w:sz="0" w:space="0" w:color="auto"/>
            <w:bottom w:val="none" w:sz="0" w:space="0" w:color="auto"/>
            <w:right w:val="none" w:sz="0" w:space="0" w:color="auto"/>
          </w:divBdr>
        </w:div>
        <w:div w:id="518784962">
          <w:marLeft w:val="0"/>
          <w:marRight w:val="0"/>
          <w:marTop w:val="120"/>
          <w:marBottom w:val="0"/>
          <w:divBdr>
            <w:top w:val="none" w:sz="0" w:space="0" w:color="auto"/>
            <w:left w:val="none" w:sz="0" w:space="0" w:color="auto"/>
            <w:bottom w:val="none" w:sz="0" w:space="0" w:color="auto"/>
            <w:right w:val="none" w:sz="0" w:space="0" w:color="auto"/>
          </w:divBdr>
        </w:div>
        <w:div w:id="711269839">
          <w:marLeft w:val="0"/>
          <w:marRight w:val="0"/>
          <w:marTop w:val="120"/>
          <w:marBottom w:val="0"/>
          <w:divBdr>
            <w:top w:val="none" w:sz="0" w:space="0" w:color="auto"/>
            <w:left w:val="none" w:sz="0" w:space="0" w:color="auto"/>
            <w:bottom w:val="none" w:sz="0" w:space="0" w:color="auto"/>
            <w:right w:val="none" w:sz="0" w:space="0" w:color="auto"/>
          </w:divBdr>
        </w:div>
        <w:div w:id="715352450">
          <w:marLeft w:val="0"/>
          <w:marRight w:val="0"/>
          <w:marTop w:val="120"/>
          <w:marBottom w:val="0"/>
          <w:divBdr>
            <w:top w:val="none" w:sz="0" w:space="0" w:color="auto"/>
            <w:left w:val="none" w:sz="0" w:space="0" w:color="auto"/>
            <w:bottom w:val="none" w:sz="0" w:space="0" w:color="auto"/>
            <w:right w:val="none" w:sz="0" w:space="0" w:color="auto"/>
          </w:divBdr>
        </w:div>
        <w:div w:id="1222181147">
          <w:marLeft w:val="0"/>
          <w:marRight w:val="0"/>
          <w:marTop w:val="120"/>
          <w:marBottom w:val="0"/>
          <w:divBdr>
            <w:top w:val="none" w:sz="0" w:space="0" w:color="auto"/>
            <w:left w:val="none" w:sz="0" w:space="0" w:color="auto"/>
            <w:bottom w:val="none" w:sz="0" w:space="0" w:color="auto"/>
            <w:right w:val="none" w:sz="0" w:space="0" w:color="auto"/>
          </w:divBdr>
        </w:div>
        <w:div w:id="1926256616">
          <w:marLeft w:val="0"/>
          <w:marRight w:val="0"/>
          <w:marTop w:val="120"/>
          <w:marBottom w:val="0"/>
          <w:divBdr>
            <w:top w:val="none" w:sz="0" w:space="0" w:color="auto"/>
            <w:left w:val="none" w:sz="0" w:space="0" w:color="auto"/>
            <w:bottom w:val="none" w:sz="0" w:space="0" w:color="auto"/>
            <w:right w:val="none" w:sz="0" w:space="0" w:color="auto"/>
          </w:divBdr>
        </w:div>
      </w:divsChild>
    </w:div>
    <w:div w:id="451097717">
      <w:bodyDiv w:val="1"/>
      <w:marLeft w:val="0"/>
      <w:marRight w:val="0"/>
      <w:marTop w:val="0"/>
      <w:marBottom w:val="0"/>
      <w:divBdr>
        <w:top w:val="none" w:sz="0" w:space="0" w:color="auto"/>
        <w:left w:val="none" w:sz="0" w:space="0" w:color="auto"/>
        <w:bottom w:val="none" w:sz="0" w:space="0" w:color="auto"/>
        <w:right w:val="none" w:sz="0" w:space="0" w:color="auto"/>
      </w:divBdr>
      <w:divsChild>
        <w:div w:id="1152212298">
          <w:marLeft w:val="0"/>
          <w:marRight w:val="0"/>
          <w:marTop w:val="120"/>
          <w:marBottom w:val="0"/>
          <w:divBdr>
            <w:top w:val="none" w:sz="0" w:space="0" w:color="auto"/>
            <w:left w:val="none" w:sz="0" w:space="0" w:color="auto"/>
            <w:bottom w:val="none" w:sz="0" w:space="0" w:color="auto"/>
            <w:right w:val="none" w:sz="0" w:space="0" w:color="auto"/>
          </w:divBdr>
        </w:div>
        <w:div w:id="342558201">
          <w:marLeft w:val="0"/>
          <w:marRight w:val="0"/>
          <w:marTop w:val="120"/>
          <w:marBottom w:val="0"/>
          <w:divBdr>
            <w:top w:val="none" w:sz="0" w:space="0" w:color="auto"/>
            <w:left w:val="none" w:sz="0" w:space="0" w:color="auto"/>
            <w:bottom w:val="none" w:sz="0" w:space="0" w:color="auto"/>
            <w:right w:val="none" w:sz="0" w:space="0" w:color="auto"/>
          </w:divBdr>
        </w:div>
        <w:div w:id="447166299">
          <w:marLeft w:val="0"/>
          <w:marRight w:val="0"/>
          <w:marTop w:val="120"/>
          <w:marBottom w:val="0"/>
          <w:divBdr>
            <w:top w:val="none" w:sz="0" w:space="0" w:color="auto"/>
            <w:left w:val="none" w:sz="0" w:space="0" w:color="auto"/>
            <w:bottom w:val="none" w:sz="0" w:space="0" w:color="auto"/>
            <w:right w:val="none" w:sz="0" w:space="0" w:color="auto"/>
          </w:divBdr>
        </w:div>
        <w:div w:id="1093891150">
          <w:marLeft w:val="0"/>
          <w:marRight w:val="0"/>
          <w:marTop w:val="120"/>
          <w:marBottom w:val="0"/>
          <w:divBdr>
            <w:top w:val="none" w:sz="0" w:space="0" w:color="auto"/>
            <w:left w:val="none" w:sz="0" w:space="0" w:color="auto"/>
            <w:bottom w:val="none" w:sz="0" w:space="0" w:color="auto"/>
            <w:right w:val="none" w:sz="0" w:space="0" w:color="auto"/>
          </w:divBdr>
        </w:div>
        <w:div w:id="209734460">
          <w:marLeft w:val="0"/>
          <w:marRight w:val="0"/>
          <w:marTop w:val="120"/>
          <w:marBottom w:val="0"/>
          <w:divBdr>
            <w:top w:val="none" w:sz="0" w:space="0" w:color="auto"/>
            <w:left w:val="none" w:sz="0" w:space="0" w:color="auto"/>
            <w:bottom w:val="none" w:sz="0" w:space="0" w:color="auto"/>
            <w:right w:val="none" w:sz="0" w:space="0" w:color="auto"/>
          </w:divBdr>
        </w:div>
        <w:div w:id="1843616958">
          <w:marLeft w:val="0"/>
          <w:marRight w:val="0"/>
          <w:marTop w:val="120"/>
          <w:marBottom w:val="0"/>
          <w:divBdr>
            <w:top w:val="none" w:sz="0" w:space="0" w:color="auto"/>
            <w:left w:val="none" w:sz="0" w:space="0" w:color="auto"/>
            <w:bottom w:val="none" w:sz="0" w:space="0" w:color="auto"/>
            <w:right w:val="none" w:sz="0" w:space="0" w:color="auto"/>
          </w:divBdr>
        </w:div>
        <w:div w:id="350301121">
          <w:marLeft w:val="0"/>
          <w:marRight w:val="0"/>
          <w:marTop w:val="120"/>
          <w:marBottom w:val="0"/>
          <w:divBdr>
            <w:top w:val="none" w:sz="0" w:space="0" w:color="auto"/>
            <w:left w:val="none" w:sz="0" w:space="0" w:color="auto"/>
            <w:bottom w:val="none" w:sz="0" w:space="0" w:color="auto"/>
            <w:right w:val="none" w:sz="0" w:space="0" w:color="auto"/>
          </w:divBdr>
        </w:div>
        <w:div w:id="813135766">
          <w:marLeft w:val="0"/>
          <w:marRight w:val="0"/>
          <w:marTop w:val="120"/>
          <w:marBottom w:val="0"/>
          <w:divBdr>
            <w:top w:val="none" w:sz="0" w:space="0" w:color="auto"/>
            <w:left w:val="none" w:sz="0" w:space="0" w:color="auto"/>
            <w:bottom w:val="none" w:sz="0" w:space="0" w:color="auto"/>
            <w:right w:val="none" w:sz="0" w:space="0" w:color="auto"/>
          </w:divBdr>
        </w:div>
        <w:div w:id="1425103217">
          <w:marLeft w:val="0"/>
          <w:marRight w:val="0"/>
          <w:marTop w:val="120"/>
          <w:marBottom w:val="0"/>
          <w:divBdr>
            <w:top w:val="none" w:sz="0" w:space="0" w:color="auto"/>
            <w:left w:val="none" w:sz="0" w:space="0" w:color="auto"/>
            <w:bottom w:val="none" w:sz="0" w:space="0" w:color="auto"/>
            <w:right w:val="none" w:sz="0" w:space="0" w:color="auto"/>
          </w:divBdr>
        </w:div>
        <w:div w:id="1978299034">
          <w:marLeft w:val="0"/>
          <w:marRight w:val="0"/>
          <w:marTop w:val="120"/>
          <w:marBottom w:val="0"/>
          <w:divBdr>
            <w:top w:val="none" w:sz="0" w:space="0" w:color="auto"/>
            <w:left w:val="none" w:sz="0" w:space="0" w:color="auto"/>
            <w:bottom w:val="none" w:sz="0" w:space="0" w:color="auto"/>
            <w:right w:val="none" w:sz="0" w:space="0" w:color="auto"/>
          </w:divBdr>
        </w:div>
        <w:div w:id="770974322">
          <w:marLeft w:val="0"/>
          <w:marRight w:val="0"/>
          <w:marTop w:val="120"/>
          <w:marBottom w:val="0"/>
          <w:divBdr>
            <w:top w:val="none" w:sz="0" w:space="0" w:color="auto"/>
            <w:left w:val="none" w:sz="0" w:space="0" w:color="auto"/>
            <w:bottom w:val="none" w:sz="0" w:space="0" w:color="auto"/>
            <w:right w:val="none" w:sz="0" w:space="0" w:color="auto"/>
          </w:divBdr>
        </w:div>
        <w:div w:id="53116583">
          <w:marLeft w:val="0"/>
          <w:marRight w:val="0"/>
          <w:marTop w:val="120"/>
          <w:marBottom w:val="0"/>
          <w:divBdr>
            <w:top w:val="none" w:sz="0" w:space="0" w:color="auto"/>
            <w:left w:val="none" w:sz="0" w:space="0" w:color="auto"/>
            <w:bottom w:val="none" w:sz="0" w:space="0" w:color="auto"/>
            <w:right w:val="none" w:sz="0" w:space="0" w:color="auto"/>
          </w:divBdr>
        </w:div>
        <w:div w:id="1780372984">
          <w:marLeft w:val="0"/>
          <w:marRight w:val="0"/>
          <w:marTop w:val="120"/>
          <w:marBottom w:val="0"/>
          <w:divBdr>
            <w:top w:val="none" w:sz="0" w:space="0" w:color="auto"/>
            <w:left w:val="none" w:sz="0" w:space="0" w:color="auto"/>
            <w:bottom w:val="none" w:sz="0" w:space="0" w:color="auto"/>
            <w:right w:val="none" w:sz="0" w:space="0" w:color="auto"/>
          </w:divBdr>
        </w:div>
      </w:divsChild>
    </w:div>
    <w:div w:id="561211754">
      <w:bodyDiv w:val="1"/>
      <w:marLeft w:val="0"/>
      <w:marRight w:val="0"/>
      <w:marTop w:val="0"/>
      <w:marBottom w:val="0"/>
      <w:divBdr>
        <w:top w:val="none" w:sz="0" w:space="0" w:color="auto"/>
        <w:left w:val="none" w:sz="0" w:space="0" w:color="auto"/>
        <w:bottom w:val="none" w:sz="0" w:space="0" w:color="auto"/>
        <w:right w:val="none" w:sz="0" w:space="0" w:color="auto"/>
      </w:divBdr>
    </w:div>
    <w:div w:id="696463392">
      <w:bodyDiv w:val="1"/>
      <w:marLeft w:val="0"/>
      <w:marRight w:val="0"/>
      <w:marTop w:val="0"/>
      <w:marBottom w:val="0"/>
      <w:divBdr>
        <w:top w:val="none" w:sz="0" w:space="0" w:color="auto"/>
        <w:left w:val="none" w:sz="0" w:space="0" w:color="auto"/>
        <w:bottom w:val="none" w:sz="0" w:space="0" w:color="auto"/>
        <w:right w:val="none" w:sz="0" w:space="0" w:color="auto"/>
      </w:divBdr>
      <w:divsChild>
        <w:div w:id="2009559034">
          <w:marLeft w:val="0"/>
          <w:marRight w:val="0"/>
          <w:marTop w:val="120"/>
          <w:marBottom w:val="0"/>
          <w:divBdr>
            <w:top w:val="none" w:sz="0" w:space="0" w:color="auto"/>
            <w:left w:val="none" w:sz="0" w:space="0" w:color="auto"/>
            <w:bottom w:val="none" w:sz="0" w:space="0" w:color="auto"/>
            <w:right w:val="none" w:sz="0" w:space="0" w:color="auto"/>
          </w:divBdr>
        </w:div>
        <w:div w:id="2146926297">
          <w:marLeft w:val="0"/>
          <w:marRight w:val="0"/>
          <w:marTop w:val="120"/>
          <w:marBottom w:val="0"/>
          <w:divBdr>
            <w:top w:val="none" w:sz="0" w:space="0" w:color="auto"/>
            <w:left w:val="none" w:sz="0" w:space="0" w:color="auto"/>
            <w:bottom w:val="none" w:sz="0" w:space="0" w:color="auto"/>
            <w:right w:val="none" w:sz="0" w:space="0" w:color="auto"/>
          </w:divBdr>
        </w:div>
        <w:div w:id="1942369400">
          <w:marLeft w:val="0"/>
          <w:marRight w:val="0"/>
          <w:marTop w:val="120"/>
          <w:marBottom w:val="0"/>
          <w:divBdr>
            <w:top w:val="none" w:sz="0" w:space="0" w:color="auto"/>
            <w:left w:val="none" w:sz="0" w:space="0" w:color="auto"/>
            <w:bottom w:val="none" w:sz="0" w:space="0" w:color="auto"/>
            <w:right w:val="none" w:sz="0" w:space="0" w:color="auto"/>
          </w:divBdr>
        </w:div>
        <w:div w:id="66000039">
          <w:marLeft w:val="0"/>
          <w:marRight w:val="0"/>
          <w:marTop w:val="120"/>
          <w:marBottom w:val="0"/>
          <w:divBdr>
            <w:top w:val="none" w:sz="0" w:space="0" w:color="auto"/>
            <w:left w:val="none" w:sz="0" w:space="0" w:color="auto"/>
            <w:bottom w:val="none" w:sz="0" w:space="0" w:color="auto"/>
            <w:right w:val="none" w:sz="0" w:space="0" w:color="auto"/>
          </w:divBdr>
        </w:div>
        <w:div w:id="1317955982">
          <w:marLeft w:val="0"/>
          <w:marRight w:val="0"/>
          <w:marTop w:val="120"/>
          <w:marBottom w:val="0"/>
          <w:divBdr>
            <w:top w:val="none" w:sz="0" w:space="0" w:color="auto"/>
            <w:left w:val="none" w:sz="0" w:space="0" w:color="auto"/>
            <w:bottom w:val="none" w:sz="0" w:space="0" w:color="auto"/>
            <w:right w:val="none" w:sz="0" w:space="0" w:color="auto"/>
          </w:divBdr>
        </w:div>
        <w:div w:id="330301676">
          <w:marLeft w:val="0"/>
          <w:marRight w:val="0"/>
          <w:marTop w:val="120"/>
          <w:marBottom w:val="0"/>
          <w:divBdr>
            <w:top w:val="none" w:sz="0" w:space="0" w:color="auto"/>
            <w:left w:val="none" w:sz="0" w:space="0" w:color="auto"/>
            <w:bottom w:val="none" w:sz="0" w:space="0" w:color="auto"/>
            <w:right w:val="none" w:sz="0" w:space="0" w:color="auto"/>
          </w:divBdr>
        </w:div>
        <w:div w:id="1399326788">
          <w:marLeft w:val="0"/>
          <w:marRight w:val="0"/>
          <w:marTop w:val="120"/>
          <w:marBottom w:val="0"/>
          <w:divBdr>
            <w:top w:val="none" w:sz="0" w:space="0" w:color="auto"/>
            <w:left w:val="none" w:sz="0" w:space="0" w:color="auto"/>
            <w:bottom w:val="none" w:sz="0" w:space="0" w:color="auto"/>
            <w:right w:val="none" w:sz="0" w:space="0" w:color="auto"/>
          </w:divBdr>
        </w:div>
      </w:divsChild>
    </w:div>
    <w:div w:id="774327338">
      <w:bodyDiv w:val="1"/>
      <w:marLeft w:val="0"/>
      <w:marRight w:val="0"/>
      <w:marTop w:val="0"/>
      <w:marBottom w:val="0"/>
      <w:divBdr>
        <w:top w:val="none" w:sz="0" w:space="0" w:color="auto"/>
        <w:left w:val="none" w:sz="0" w:space="0" w:color="auto"/>
        <w:bottom w:val="none" w:sz="0" w:space="0" w:color="auto"/>
        <w:right w:val="none" w:sz="0" w:space="0" w:color="auto"/>
      </w:divBdr>
    </w:div>
    <w:div w:id="967857345">
      <w:bodyDiv w:val="1"/>
      <w:marLeft w:val="0"/>
      <w:marRight w:val="0"/>
      <w:marTop w:val="0"/>
      <w:marBottom w:val="0"/>
      <w:divBdr>
        <w:top w:val="none" w:sz="0" w:space="0" w:color="auto"/>
        <w:left w:val="none" w:sz="0" w:space="0" w:color="auto"/>
        <w:bottom w:val="none" w:sz="0" w:space="0" w:color="auto"/>
        <w:right w:val="none" w:sz="0" w:space="0" w:color="auto"/>
      </w:divBdr>
      <w:divsChild>
        <w:div w:id="1277786005">
          <w:marLeft w:val="0"/>
          <w:marRight w:val="0"/>
          <w:marTop w:val="120"/>
          <w:marBottom w:val="0"/>
          <w:divBdr>
            <w:top w:val="none" w:sz="0" w:space="0" w:color="auto"/>
            <w:left w:val="none" w:sz="0" w:space="0" w:color="auto"/>
            <w:bottom w:val="none" w:sz="0" w:space="0" w:color="auto"/>
            <w:right w:val="none" w:sz="0" w:space="0" w:color="auto"/>
          </w:divBdr>
        </w:div>
        <w:div w:id="759066817">
          <w:marLeft w:val="0"/>
          <w:marRight w:val="0"/>
          <w:marTop w:val="120"/>
          <w:marBottom w:val="0"/>
          <w:divBdr>
            <w:top w:val="none" w:sz="0" w:space="0" w:color="auto"/>
            <w:left w:val="none" w:sz="0" w:space="0" w:color="auto"/>
            <w:bottom w:val="none" w:sz="0" w:space="0" w:color="auto"/>
            <w:right w:val="none" w:sz="0" w:space="0" w:color="auto"/>
          </w:divBdr>
        </w:div>
        <w:div w:id="957570640">
          <w:marLeft w:val="0"/>
          <w:marRight w:val="0"/>
          <w:marTop w:val="120"/>
          <w:marBottom w:val="0"/>
          <w:divBdr>
            <w:top w:val="none" w:sz="0" w:space="0" w:color="auto"/>
            <w:left w:val="none" w:sz="0" w:space="0" w:color="auto"/>
            <w:bottom w:val="none" w:sz="0" w:space="0" w:color="auto"/>
            <w:right w:val="none" w:sz="0" w:space="0" w:color="auto"/>
          </w:divBdr>
        </w:div>
        <w:div w:id="930091332">
          <w:marLeft w:val="0"/>
          <w:marRight w:val="0"/>
          <w:marTop w:val="120"/>
          <w:marBottom w:val="0"/>
          <w:divBdr>
            <w:top w:val="none" w:sz="0" w:space="0" w:color="auto"/>
            <w:left w:val="none" w:sz="0" w:space="0" w:color="auto"/>
            <w:bottom w:val="none" w:sz="0" w:space="0" w:color="auto"/>
            <w:right w:val="none" w:sz="0" w:space="0" w:color="auto"/>
          </w:divBdr>
        </w:div>
        <w:div w:id="1504977761">
          <w:marLeft w:val="0"/>
          <w:marRight w:val="0"/>
          <w:marTop w:val="120"/>
          <w:marBottom w:val="0"/>
          <w:divBdr>
            <w:top w:val="none" w:sz="0" w:space="0" w:color="auto"/>
            <w:left w:val="none" w:sz="0" w:space="0" w:color="auto"/>
            <w:bottom w:val="none" w:sz="0" w:space="0" w:color="auto"/>
            <w:right w:val="none" w:sz="0" w:space="0" w:color="auto"/>
          </w:divBdr>
        </w:div>
        <w:div w:id="1414427746">
          <w:marLeft w:val="0"/>
          <w:marRight w:val="0"/>
          <w:marTop w:val="120"/>
          <w:marBottom w:val="0"/>
          <w:divBdr>
            <w:top w:val="none" w:sz="0" w:space="0" w:color="auto"/>
            <w:left w:val="none" w:sz="0" w:space="0" w:color="auto"/>
            <w:bottom w:val="none" w:sz="0" w:space="0" w:color="auto"/>
            <w:right w:val="none" w:sz="0" w:space="0" w:color="auto"/>
          </w:divBdr>
        </w:div>
        <w:div w:id="129172968">
          <w:marLeft w:val="0"/>
          <w:marRight w:val="0"/>
          <w:marTop w:val="120"/>
          <w:marBottom w:val="0"/>
          <w:divBdr>
            <w:top w:val="none" w:sz="0" w:space="0" w:color="auto"/>
            <w:left w:val="none" w:sz="0" w:space="0" w:color="auto"/>
            <w:bottom w:val="none" w:sz="0" w:space="0" w:color="auto"/>
            <w:right w:val="none" w:sz="0" w:space="0" w:color="auto"/>
          </w:divBdr>
        </w:div>
        <w:div w:id="378869627">
          <w:marLeft w:val="0"/>
          <w:marRight w:val="0"/>
          <w:marTop w:val="120"/>
          <w:marBottom w:val="0"/>
          <w:divBdr>
            <w:top w:val="none" w:sz="0" w:space="0" w:color="auto"/>
            <w:left w:val="none" w:sz="0" w:space="0" w:color="auto"/>
            <w:bottom w:val="none" w:sz="0" w:space="0" w:color="auto"/>
            <w:right w:val="none" w:sz="0" w:space="0" w:color="auto"/>
          </w:divBdr>
        </w:div>
        <w:div w:id="1429958790">
          <w:marLeft w:val="0"/>
          <w:marRight w:val="0"/>
          <w:marTop w:val="120"/>
          <w:marBottom w:val="0"/>
          <w:divBdr>
            <w:top w:val="none" w:sz="0" w:space="0" w:color="auto"/>
            <w:left w:val="none" w:sz="0" w:space="0" w:color="auto"/>
            <w:bottom w:val="none" w:sz="0" w:space="0" w:color="auto"/>
            <w:right w:val="none" w:sz="0" w:space="0" w:color="auto"/>
          </w:divBdr>
        </w:div>
        <w:div w:id="2028675403">
          <w:marLeft w:val="0"/>
          <w:marRight w:val="0"/>
          <w:marTop w:val="120"/>
          <w:marBottom w:val="0"/>
          <w:divBdr>
            <w:top w:val="none" w:sz="0" w:space="0" w:color="auto"/>
            <w:left w:val="none" w:sz="0" w:space="0" w:color="auto"/>
            <w:bottom w:val="none" w:sz="0" w:space="0" w:color="auto"/>
            <w:right w:val="none" w:sz="0" w:space="0" w:color="auto"/>
          </w:divBdr>
        </w:div>
        <w:div w:id="1142694162">
          <w:marLeft w:val="0"/>
          <w:marRight w:val="0"/>
          <w:marTop w:val="120"/>
          <w:marBottom w:val="0"/>
          <w:divBdr>
            <w:top w:val="none" w:sz="0" w:space="0" w:color="auto"/>
            <w:left w:val="none" w:sz="0" w:space="0" w:color="auto"/>
            <w:bottom w:val="none" w:sz="0" w:space="0" w:color="auto"/>
            <w:right w:val="none" w:sz="0" w:space="0" w:color="auto"/>
          </w:divBdr>
        </w:div>
      </w:divsChild>
    </w:div>
    <w:div w:id="1066730662">
      <w:bodyDiv w:val="1"/>
      <w:marLeft w:val="0"/>
      <w:marRight w:val="0"/>
      <w:marTop w:val="0"/>
      <w:marBottom w:val="0"/>
      <w:divBdr>
        <w:top w:val="none" w:sz="0" w:space="0" w:color="auto"/>
        <w:left w:val="none" w:sz="0" w:space="0" w:color="auto"/>
        <w:bottom w:val="none" w:sz="0" w:space="0" w:color="auto"/>
        <w:right w:val="none" w:sz="0" w:space="0" w:color="auto"/>
      </w:divBdr>
    </w:div>
    <w:div w:id="1141923935">
      <w:bodyDiv w:val="1"/>
      <w:marLeft w:val="0"/>
      <w:marRight w:val="0"/>
      <w:marTop w:val="0"/>
      <w:marBottom w:val="0"/>
      <w:divBdr>
        <w:top w:val="none" w:sz="0" w:space="0" w:color="auto"/>
        <w:left w:val="none" w:sz="0" w:space="0" w:color="auto"/>
        <w:bottom w:val="none" w:sz="0" w:space="0" w:color="auto"/>
        <w:right w:val="none" w:sz="0" w:space="0" w:color="auto"/>
      </w:divBdr>
    </w:div>
    <w:div w:id="1339769709">
      <w:bodyDiv w:val="1"/>
      <w:marLeft w:val="0"/>
      <w:marRight w:val="0"/>
      <w:marTop w:val="0"/>
      <w:marBottom w:val="0"/>
      <w:divBdr>
        <w:top w:val="none" w:sz="0" w:space="0" w:color="auto"/>
        <w:left w:val="none" w:sz="0" w:space="0" w:color="auto"/>
        <w:bottom w:val="none" w:sz="0" w:space="0" w:color="auto"/>
        <w:right w:val="none" w:sz="0" w:space="0" w:color="auto"/>
      </w:divBdr>
    </w:div>
    <w:div w:id="1408570774">
      <w:bodyDiv w:val="1"/>
      <w:marLeft w:val="0"/>
      <w:marRight w:val="0"/>
      <w:marTop w:val="0"/>
      <w:marBottom w:val="0"/>
      <w:divBdr>
        <w:top w:val="none" w:sz="0" w:space="0" w:color="auto"/>
        <w:left w:val="none" w:sz="0" w:space="0" w:color="auto"/>
        <w:bottom w:val="none" w:sz="0" w:space="0" w:color="auto"/>
        <w:right w:val="none" w:sz="0" w:space="0" w:color="auto"/>
      </w:divBdr>
    </w:div>
    <w:div w:id="1425302500">
      <w:bodyDiv w:val="1"/>
      <w:marLeft w:val="0"/>
      <w:marRight w:val="0"/>
      <w:marTop w:val="0"/>
      <w:marBottom w:val="0"/>
      <w:divBdr>
        <w:top w:val="none" w:sz="0" w:space="0" w:color="auto"/>
        <w:left w:val="none" w:sz="0" w:space="0" w:color="auto"/>
        <w:bottom w:val="none" w:sz="0" w:space="0" w:color="auto"/>
        <w:right w:val="none" w:sz="0" w:space="0" w:color="auto"/>
      </w:divBdr>
    </w:div>
    <w:div w:id="1799761550">
      <w:bodyDiv w:val="1"/>
      <w:marLeft w:val="0"/>
      <w:marRight w:val="0"/>
      <w:marTop w:val="0"/>
      <w:marBottom w:val="0"/>
      <w:divBdr>
        <w:top w:val="none" w:sz="0" w:space="0" w:color="auto"/>
        <w:left w:val="none" w:sz="0" w:space="0" w:color="auto"/>
        <w:bottom w:val="none" w:sz="0" w:space="0" w:color="auto"/>
        <w:right w:val="none" w:sz="0" w:space="0" w:color="auto"/>
      </w:divBdr>
    </w:div>
    <w:div w:id="19636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cp:lastModifiedBy>
  <cp:revision>27</cp:revision>
  <cp:lastPrinted>2017-01-12T13:07:00Z</cp:lastPrinted>
  <dcterms:created xsi:type="dcterms:W3CDTF">2017-01-11T05:42:00Z</dcterms:created>
  <dcterms:modified xsi:type="dcterms:W3CDTF">2017-07-04T07:02:00Z</dcterms:modified>
</cp:coreProperties>
</file>